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2" w:type="dxa"/>
        <w:tblInd w:w="-1080" w:type="dxa"/>
        <w:tblBorders>
          <w:top w:val="thinThickSmallGap" w:sz="12" w:space="0" w:color="009969"/>
          <w:bottom w:val="thinThickSmallGap" w:sz="12" w:space="0" w:color="009969"/>
        </w:tblBorders>
        <w:tblLook w:val="01E0" w:firstRow="1" w:lastRow="1" w:firstColumn="1" w:lastColumn="1" w:noHBand="0" w:noVBand="0"/>
      </w:tblPr>
      <w:tblGrid>
        <w:gridCol w:w="5220"/>
        <w:gridCol w:w="5922"/>
      </w:tblGrid>
      <w:tr w:rsidR="00FA5670" w:rsidRPr="00096CDE" w14:paraId="3B826B62" w14:textId="77777777" w:rsidTr="00466621">
        <w:trPr>
          <w:trHeight w:val="2176"/>
        </w:trPr>
        <w:tc>
          <w:tcPr>
            <w:tcW w:w="5220" w:type="dxa"/>
            <w:tcMar>
              <w:top w:w="14" w:type="dxa"/>
              <w:left w:w="115" w:type="dxa"/>
              <w:bottom w:w="7" w:type="dxa"/>
              <w:right w:w="115" w:type="dxa"/>
            </w:tcMar>
            <w:vAlign w:val="center"/>
          </w:tcPr>
          <w:p w14:paraId="7B15B67E" w14:textId="77777777" w:rsidR="00FA5670" w:rsidRPr="00096CDE" w:rsidRDefault="00FA5670" w:rsidP="00466621">
            <w:pPr>
              <w:spacing w:after="0" w:line="240" w:lineRule="auto"/>
              <w:ind w:left="864"/>
              <w:rPr>
                <w:rFonts w:ascii="Times New Roman" w:eastAsia="Times New Roman" w:hAnsi="Times New Roman" w:cs="Times New Roman"/>
                <w:color w:val="009969"/>
                <w:sz w:val="24"/>
                <w:szCs w:val="24"/>
              </w:rPr>
            </w:pPr>
            <w:r w:rsidRPr="00096CDE">
              <w:rPr>
                <w:rFonts w:ascii="Times New Roman" w:eastAsia="Times New Roman" w:hAnsi="Times New Roman" w:cs="Times New Roman"/>
                <w:noProof/>
                <w:color w:val="009969"/>
                <w:sz w:val="24"/>
                <w:szCs w:val="24"/>
              </w:rPr>
              <w:drawing>
                <wp:inline distT="0" distB="0" distL="0" distR="0" wp14:anchorId="0DD9CE02" wp14:editId="77C0E6AF">
                  <wp:extent cx="1819656" cy="1536192"/>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9656" cy="1536192"/>
                          </a:xfrm>
                          <a:prstGeom prst="rect">
                            <a:avLst/>
                          </a:prstGeom>
                          <a:noFill/>
                        </pic:spPr>
                      </pic:pic>
                    </a:graphicData>
                  </a:graphic>
                </wp:inline>
              </w:drawing>
            </w:r>
          </w:p>
        </w:tc>
        <w:tc>
          <w:tcPr>
            <w:tcW w:w="5922" w:type="dxa"/>
            <w:tcMar>
              <w:left w:w="0" w:type="dxa"/>
              <w:right w:w="0" w:type="dxa"/>
            </w:tcMar>
          </w:tcPr>
          <w:p w14:paraId="0B06FC9C"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p>
          <w:p w14:paraId="26159177"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State of Rhode Island and Providence Plantations</w:t>
            </w:r>
          </w:p>
          <w:p w14:paraId="247A3CD4"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Management and Budget</w:t>
            </w:r>
          </w:p>
          <w:p w14:paraId="007C4625"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OFFICE OF INTERNAL AUDIT</w:t>
            </w:r>
            <w:r w:rsidRPr="00096CDE">
              <w:rPr>
                <w:rFonts w:ascii="Times New Roman" w:eastAsia="Times New Roman" w:hAnsi="Times New Roman" w:cs="Times New Roman"/>
                <w:color w:val="1F497D"/>
                <w:sz w:val="24"/>
                <w:szCs w:val="24"/>
              </w:rPr>
              <w:tab/>
            </w:r>
          </w:p>
          <w:p w14:paraId="3A9BA49A"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One Capitol Hill</w:t>
            </w:r>
          </w:p>
          <w:p w14:paraId="00067367" w14:textId="77777777" w:rsidR="00FA5670" w:rsidRPr="00096CDE" w:rsidRDefault="00FA5670" w:rsidP="00466621">
            <w:pPr>
              <w:spacing w:after="0" w:line="240" w:lineRule="auto"/>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Providence, Rhode Island 02908-5889</w:t>
            </w:r>
          </w:p>
          <w:p w14:paraId="1285F1FD" w14:textId="77777777" w:rsidR="00FA5670" w:rsidRPr="00096CDE" w:rsidRDefault="00FA5670" w:rsidP="00466621">
            <w:pPr>
              <w:widowControl w:val="0"/>
              <w:spacing w:before="34" w:after="0" w:line="240" w:lineRule="auto"/>
              <w:ind w:right="-20"/>
              <w:jc w:val="both"/>
              <w:rPr>
                <w:rFonts w:ascii="Times New Roman" w:eastAsia="Times New Roman" w:hAnsi="Times New Roman" w:cs="Times New Roman"/>
                <w:color w:val="1F497D"/>
                <w:sz w:val="24"/>
                <w:szCs w:val="24"/>
              </w:rPr>
            </w:pPr>
            <w:r w:rsidRPr="00096CDE">
              <w:rPr>
                <w:rFonts w:ascii="Times New Roman" w:eastAsia="Times New Roman" w:hAnsi="Times New Roman" w:cs="Times New Roman"/>
                <w:color w:val="1F497D"/>
                <w:sz w:val="24"/>
                <w:szCs w:val="24"/>
              </w:rPr>
              <w:t xml:space="preserve">TEL #: (401) 574-8170 </w:t>
            </w:r>
          </w:p>
          <w:p w14:paraId="37A139E6" w14:textId="77777777" w:rsidR="00FA5670" w:rsidRPr="00096CDE" w:rsidRDefault="00FA5670" w:rsidP="00466621">
            <w:pPr>
              <w:widowControl w:val="0"/>
              <w:spacing w:before="34" w:after="0" w:line="240" w:lineRule="auto"/>
              <w:ind w:right="-20"/>
              <w:jc w:val="both"/>
              <w:rPr>
                <w:rFonts w:ascii="Times New Roman" w:eastAsia="Times New Roman" w:hAnsi="Times New Roman" w:cs="Arial"/>
                <w:sz w:val="24"/>
                <w:szCs w:val="24"/>
              </w:rPr>
            </w:pPr>
            <w:r w:rsidRPr="00096CDE">
              <w:rPr>
                <w:rFonts w:ascii="Times New Roman" w:eastAsia="Times New Roman" w:hAnsi="Times New Roman" w:cs="Times New Roman"/>
                <w:color w:val="1F497D"/>
                <w:sz w:val="24"/>
                <w:szCs w:val="24"/>
              </w:rPr>
              <w:t xml:space="preserve">www.audits.ri.gov  </w:t>
            </w:r>
          </w:p>
          <w:p w14:paraId="3F36FC86" w14:textId="77777777" w:rsidR="00FA5670" w:rsidRPr="00096CDE" w:rsidRDefault="00FA5670" w:rsidP="00466621">
            <w:pPr>
              <w:tabs>
                <w:tab w:val="center" w:pos="4320"/>
                <w:tab w:val="right" w:pos="8640"/>
              </w:tabs>
              <w:spacing w:after="0" w:line="200" w:lineRule="exact"/>
              <w:rPr>
                <w:rFonts w:ascii="Times New Roman" w:eastAsia="Times New Roman" w:hAnsi="Times New Roman" w:cs="Times New Roman"/>
                <w:color w:val="009969"/>
                <w:sz w:val="28"/>
                <w:szCs w:val="28"/>
              </w:rPr>
            </w:pPr>
          </w:p>
        </w:tc>
      </w:tr>
    </w:tbl>
    <w:p w14:paraId="155E6C1D" w14:textId="77777777" w:rsidR="00FA5670" w:rsidRPr="00096CDE" w:rsidRDefault="00FA5670" w:rsidP="00FA5670">
      <w:pPr>
        <w:widowControl w:val="0"/>
        <w:spacing w:before="34" w:after="0" w:line="240" w:lineRule="auto"/>
        <w:ind w:right="-20"/>
        <w:jc w:val="both"/>
        <w:rPr>
          <w:rFonts w:ascii="Times New Roman" w:eastAsia="Times New Roman" w:hAnsi="Times New Roman" w:cs="Times New Roman"/>
          <w:sz w:val="20"/>
          <w:szCs w:val="20"/>
        </w:rPr>
      </w:pPr>
    </w:p>
    <w:p w14:paraId="62666262" w14:textId="647E8A81" w:rsidR="00FA5670" w:rsidRPr="00096CDE" w:rsidRDefault="00FA5670" w:rsidP="00FA5670">
      <w:pPr>
        <w:widowControl w:val="0"/>
        <w:spacing w:before="34" w:after="0" w:line="240" w:lineRule="auto"/>
        <w:ind w:right="-20"/>
        <w:jc w:val="both"/>
        <w:rPr>
          <w:rFonts w:ascii="Times New Roman" w:eastAsia="Times New Roman" w:hAnsi="Times New Roman" w:cs="Times New Roman"/>
          <w:sz w:val="20"/>
          <w:szCs w:val="20"/>
        </w:rPr>
      </w:pPr>
      <w:r w:rsidRPr="0033092E">
        <w:rPr>
          <w:rFonts w:ascii="Times New Roman" w:eastAsia="Times New Roman" w:hAnsi="Times New Roman" w:cs="Times New Roman"/>
          <w:sz w:val="20"/>
          <w:szCs w:val="20"/>
        </w:rPr>
        <w:t xml:space="preserve">September </w:t>
      </w:r>
      <w:r w:rsidR="0033092E" w:rsidRPr="0033092E">
        <w:rPr>
          <w:rFonts w:ascii="Times New Roman" w:eastAsia="Times New Roman" w:hAnsi="Times New Roman" w:cs="Times New Roman"/>
          <w:sz w:val="20"/>
          <w:szCs w:val="20"/>
        </w:rPr>
        <w:t>26</w:t>
      </w:r>
      <w:r w:rsidRPr="0033092E">
        <w:rPr>
          <w:rFonts w:ascii="Times New Roman" w:eastAsia="Times New Roman" w:hAnsi="Times New Roman" w:cs="Times New Roman"/>
          <w:sz w:val="20"/>
          <w:szCs w:val="20"/>
        </w:rPr>
        <w:t>, 2019</w:t>
      </w:r>
    </w:p>
    <w:p w14:paraId="0CD93F3E" w14:textId="77777777" w:rsidR="00FA5670" w:rsidRPr="00096CDE" w:rsidRDefault="00FA5670" w:rsidP="00FA5670">
      <w:pPr>
        <w:widowControl w:val="0"/>
        <w:spacing w:after="0" w:line="240" w:lineRule="auto"/>
        <w:ind w:right="-20"/>
        <w:jc w:val="both"/>
        <w:rPr>
          <w:rFonts w:ascii="Times New Roman" w:eastAsia="Times New Roman" w:hAnsi="Times New Roman" w:cs="Times New Roman"/>
          <w:sz w:val="20"/>
          <w:szCs w:val="20"/>
        </w:rPr>
      </w:pPr>
    </w:p>
    <w:p w14:paraId="055BE7BF" w14:textId="77777777" w:rsidR="00FA5670" w:rsidRPr="00096CDE" w:rsidRDefault="00FA5670" w:rsidP="00FA5670">
      <w:pPr>
        <w:widowControl w:val="0"/>
        <w:spacing w:after="0" w:line="240" w:lineRule="auto"/>
        <w:ind w:right="-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Mr</w:t>
      </w:r>
      <w:r>
        <w:rPr>
          <w:rFonts w:ascii="Times New Roman" w:eastAsia="Times New Roman" w:hAnsi="Times New Roman" w:cs="Times New Roman"/>
          <w:sz w:val="20"/>
          <w:szCs w:val="20"/>
        </w:rPr>
        <w:t>. Jesse Saglio</w:t>
      </w:r>
    </w:p>
    <w:p w14:paraId="31D64309" w14:textId="77777777" w:rsidR="00FA5670" w:rsidRPr="00096CDE" w:rsidRDefault="00FA5670" w:rsidP="00FA567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14:paraId="03D6700A" w14:textId="77777777" w:rsidR="00FA5670" w:rsidRDefault="00FA5670" w:rsidP="00FA567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Rhode Island Commerce Corporation</w:t>
      </w:r>
    </w:p>
    <w:p w14:paraId="5494D2D9" w14:textId="77777777" w:rsidR="00FA5670" w:rsidRDefault="00FA5670" w:rsidP="00FA567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315 Iron Horse Way, Suite 101</w:t>
      </w:r>
    </w:p>
    <w:p w14:paraId="6C69B6E8" w14:textId="77777777" w:rsidR="00FA5670" w:rsidRPr="00096CDE" w:rsidRDefault="00FA5670" w:rsidP="00FA5670">
      <w:pPr>
        <w:widowControl w:val="0"/>
        <w:spacing w:after="0" w:line="240" w:lineRule="auto"/>
        <w:ind w:right="-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Providence, RI 02908 </w:t>
      </w:r>
    </w:p>
    <w:p w14:paraId="2E9AC796" w14:textId="77777777" w:rsidR="00FA5670" w:rsidRPr="00096CDE" w:rsidRDefault="00FA5670" w:rsidP="00FA5670">
      <w:pPr>
        <w:widowControl w:val="0"/>
        <w:spacing w:before="1" w:after="0" w:line="240" w:lineRule="auto"/>
        <w:jc w:val="both"/>
        <w:rPr>
          <w:rFonts w:ascii="Times New Roman" w:eastAsia="Calibri" w:hAnsi="Times New Roman" w:cs="Times New Roman"/>
          <w:sz w:val="20"/>
          <w:szCs w:val="20"/>
        </w:rPr>
      </w:pPr>
    </w:p>
    <w:p w14:paraId="086B6D7D" w14:textId="77777777" w:rsidR="00FA5670" w:rsidRPr="00096CDE" w:rsidRDefault="00FA5670" w:rsidP="00FA5670">
      <w:pPr>
        <w:widowControl w:val="0"/>
        <w:spacing w:after="0" w:line="240" w:lineRule="auto"/>
        <w:ind w:right="-20"/>
        <w:jc w:val="both"/>
        <w:rPr>
          <w:rFonts w:ascii="Times New Roman" w:eastAsia="Calibri" w:hAnsi="Times New Roman" w:cs="Times New Roman"/>
          <w:sz w:val="20"/>
          <w:szCs w:val="20"/>
        </w:rPr>
      </w:pPr>
      <w:r w:rsidRPr="00096CDE">
        <w:rPr>
          <w:rFonts w:ascii="Times New Roman" w:eastAsia="Calibri" w:hAnsi="Times New Roman" w:cs="Times New Roman"/>
          <w:sz w:val="20"/>
          <w:szCs w:val="20"/>
        </w:rPr>
        <w:t>Dear</w:t>
      </w:r>
      <w:r>
        <w:rPr>
          <w:rFonts w:ascii="Times New Roman" w:eastAsia="Calibri" w:hAnsi="Times New Roman" w:cs="Times New Roman"/>
          <w:sz w:val="20"/>
          <w:szCs w:val="20"/>
        </w:rPr>
        <w:t xml:space="preserve"> Mr. Saglio</w:t>
      </w:r>
      <w:r w:rsidRPr="00096CDE">
        <w:rPr>
          <w:rFonts w:ascii="Times New Roman" w:eastAsia="Calibri" w:hAnsi="Times New Roman" w:cs="Times New Roman"/>
          <w:w w:val="102"/>
          <w:sz w:val="20"/>
          <w:szCs w:val="20"/>
        </w:rPr>
        <w:t>:</w:t>
      </w:r>
    </w:p>
    <w:p w14:paraId="1C540F3C" w14:textId="77777777" w:rsidR="00FA5670" w:rsidRPr="00096CDE" w:rsidRDefault="00FA5670" w:rsidP="00FA5670">
      <w:pPr>
        <w:widowControl w:val="0"/>
        <w:spacing w:before="1" w:after="0" w:line="240" w:lineRule="auto"/>
        <w:jc w:val="both"/>
        <w:rPr>
          <w:rFonts w:ascii="Times New Roman" w:eastAsia="Times New Roman" w:hAnsi="Times New Roman" w:cs="Times New Roman"/>
          <w:sz w:val="20"/>
          <w:szCs w:val="20"/>
        </w:rPr>
      </w:pPr>
    </w:p>
    <w:p w14:paraId="5FD92B74" w14:textId="77777777" w:rsidR="00FA5670" w:rsidRPr="00096CDE" w:rsidRDefault="00FA5670" w:rsidP="00FA5670">
      <w:pPr>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The Office of Internal Audit has completed its</w:t>
      </w:r>
      <w:r>
        <w:rPr>
          <w:rFonts w:ascii="Times New Roman" w:eastAsia="Times New Roman" w:hAnsi="Times New Roman" w:cs="Times New Roman"/>
          <w:sz w:val="20"/>
          <w:szCs w:val="20"/>
        </w:rPr>
        <w:t xml:space="preserve"> limited</w:t>
      </w:r>
      <w:r w:rsidRPr="00096CD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scope performance audit </w:t>
      </w:r>
      <w:r w:rsidRPr="00096CDE">
        <w:rPr>
          <w:rFonts w:ascii="Times New Roman" w:eastAsia="Times New Roman" w:hAnsi="Times New Roman" w:cs="Times New Roman"/>
          <w:sz w:val="20"/>
          <w:szCs w:val="20"/>
        </w:rPr>
        <w:t>of the</w:t>
      </w:r>
      <w:r>
        <w:rPr>
          <w:rFonts w:ascii="Times New Roman" w:eastAsia="Times New Roman" w:hAnsi="Times New Roman" w:cs="Times New Roman"/>
          <w:sz w:val="20"/>
          <w:szCs w:val="20"/>
        </w:rPr>
        <w:t xml:space="preserve"> </w:t>
      </w:r>
      <w:r w:rsidR="00C535EB">
        <w:rPr>
          <w:rFonts w:ascii="Times New Roman" w:eastAsia="Times New Roman" w:hAnsi="Times New Roman" w:cs="Times New Roman"/>
          <w:sz w:val="20"/>
          <w:szCs w:val="20"/>
        </w:rPr>
        <w:t xml:space="preserve">Rhode Island Industrial Facilities Corporation (RIIFC). </w:t>
      </w:r>
      <w:r>
        <w:rPr>
          <w:rFonts w:ascii="Times New Roman" w:eastAsia="Times New Roman" w:hAnsi="Times New Roman" w:cs="Times New Roman"/>
          <w:sz w:val="20"/>
          <w:szCs w:val="20"/>
        </w:rPr>
        <w:t xml:space="preserve">OIA reviewed </w:t>
      </w:r>
      <w:r w:rsidR="00C535EB">
        <w:rPr>
          <w:rFonts w:ascii="Times New Roman" w:eastAsia="Times New Roman" w:hAnsi="Times New Roman" w:cs="Times New Roman"/>
          <w:sz w:val="20"/>
          <w:szCs w:val="20"/>
        </w:rPr>
        <w:t>RIIFC</w:t>
      </w:r>
      <w:r>
        <w:rPr>
          <w:rFonts w:ascii="Times New Roman" w:eastAsia="Times New Roman" w:hAnsi="Times New Roman" w:cs="Times New Roman"/>
          <w:sz w:val="20"/>
          <w:szCs w:val="20"/>
        </w:rPr>
        <w:t xml:space="preserve">’s compliance with the Quasi-Public Corporations Accountability and Transparency Act as well as the efficiency and effectiveness of operations.  The audit was conducted </w:t>
      </w:r>
      <w:r w:rsidRPr="00096CDE">
        <w:rPr>
          <w:rFonts w:ascii="Times New Roman" w:eastAsia="Times New Roman" w:hAnsi="Times New Roman" w:cs="Times New Roman"/>
          <w:sz w:val="20"/>
          <w:szCs w:val="20"/>
        </w:rPr>
        <w:t>in conformance with the Institute of Internal Auditors (IIA) International Standards for the Professional Practice of Internal Auditing and by the authority given to the unit as stated in accordance with Rhode Island General Laws (RIGL) § 35-7.1-2(a) – Establishment of office of internal audit. The recommendations included herein have been discussed with members of management, and we considered their comments in the preparation of this report.</w:t>
      </w:r>
    </w:p>
    <w:p w14:paraId="2964FAB7" w14:textId="77777777" w:rsidR="00FA5670" w:rsidRPr="00096CDE" w:rsidRDefault="00FA5670" w:rsidP="00FA5670">
      <w:pPr>
        <w:spacing w:after="0" w:line="240" w:lineRule="auto"/>
        <w:ind w:right="720"/>
        <w:jc w:val="both"/>
        <w:rPr>
          <w:rFonts w:ascii="Times New Roman" w:eastAsia="Times New Roman" w:hAnsi="Times New Roman" w:cs="Times New Roman"/>
          <w:sz w:val="20"/>
          <w:szCs w:val="20"/>
        </w:rPr>
      </w:pPr>
    </w:p>
    <w:p w14:paraId="21F2FA20" w14:textId="0D2D3DA1" w:rsidR="00FA5670" w:rsidRPr="00096CDE" w:rsidRDefault="00FA5670" w:rsidP="00FA5670">
      <w:pPr>
        <w:widowControl w:val="0"/>
        <w:spacing w:after="0" w:line="240" w:lineRule="auto"/>
        <w:ind w:right="720"/>
        <w:jc w:val="both"/>
        <w:rPr>
          <w:rFonts w:ascii="Times New Roman" w:eastAsia="Times New Roman" w:hAnsi="Times New Roman" w:cs="Times New Roman"/>
          <w:w w:val="109"/>
          <w:sz w:val="20"/>
          <w:szCs w:val="20"/>
        </w:rPr>
      </w:pPr>
      <w:r w:rsidRPr="00096CDE">
        <w:rPr>
          <w:rFonts w:ascii="Times New Roman" w:eastAsia="Times New Roman" w:hAnsi="Times New Roman" w:cs="Times New Roman"/>
          <w:w w:val="87"/>
          <w:sz w:val="20"/>
          <w:szCs w:val="20"/>
        </w:rPr>
        <w:t>RIGL</w:t>
      </w:r>
      <w:r w:rsidRPr="00096CDE">
        <w:rPr>
          <w:rFonts w:ascii="Times New Roman" w:eastAsia="Times New Roman" w:hAnsi="Times New Roman" w:cs="Times New Roman"/>
          <w:spacing w:val="13"/>
          <w:w w:val="87"/>
          <w:sz w:val="20"/>
          <w:szCs w:val="20"/>
        </w:rPr>
        <w:t xml:space="preserve"> </w:t>
      </w:r>
      <w:r w:rsidRPr="00096CDE">
        <w:rPr>
          <w:rFonts w:ascii="Times New Roman" w:eastAsia="Times New Roman" w:hAnsi="Times New Roman" w:cs="Times New Roman"/>
          <w:sz w:val="20"/>
          <w:szCs w:val="20"/>
        </w:rPr>
        <w:t>§ 35-7.1-10(d)</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sz w:val="20"/>
          <w:szCs w:val="20"/>
        </w:rPr>
        <w:t>entitled Annual and interim reports,</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states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that,</w:t>
      </w:r>
      <w:r w:rsidRPr="00096CDE">
        <w:rPr>
          <w:rFonts w:ascii="Times New Roman" w:eastAsia="Times New Roman" w:hAnsi="Times New Roman" w:cs="Times New Roman"/>
          <w:spacing w:val="34"/>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52"/>
          <w:sz w:val="20"/>
          <w:szCs w:val="20"/>
        </w:rPr>
        <w:t xml:space="preserve"> </w:t>
      </w:r>
      <w:r w:rsidRPr="00096CDE">
        <w:rPr>
          <w:rFonts w:ascii="Times New Roman" w:eastAsia="Times New Roman" w:hAnsi="Times New Roman" w:cs="Times New Roman"/>
          <w:sz w:val="20"/>
          <w:szCs w:val="20"/>
        </w:rPr>
        <w:t>twenty</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(20) calendar</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w w:val="101"/>
          <w:sz w:val="20"/>
          <w:szCs w:val="20"/>
        </w:rPr>
        <w:t xml:space="preserve">days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35"/>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8"/>
          <w:sz w:val="20"/>
          <w:szCs w:val="20"/>
        </w:rPr>
        <w:t xml:space="preserve"> the </w:t>
      </w:r>
      <w:r w:rsidRPr="00096CDE">
        <w:rPr>
          <w:rFonts w:ascii="Times New Roman" w:eastAsia="Times New Roman" w:hAnsi="Times New Roman" w:cs="Times New Roman"/>
          <w:w w:val="96"/>
          <w:sz w:val="20"/>
          <w:szCs w:val="20"/>
        </w:rPr>
        <w:t>issuance</w:t>
      </w:r>
      <w:r w:rsidRPr="00096CDE">
        <w:rPr>
          <w:rFonts w:ascii="Times New Roman" w:eastAsia="Times New Roman" w:hAnsi="Times New Roman" w:cs="Times New Roman"/>
          <w:spacing w:val="-1"/>
          <w:w w:val="96"/>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management-response copy of the draft audit report</w:t>
      </w:r>
      <w:r w:rsidRPr="00096CDE">
        <w:rPr>
          <w:rFonts w:ascii="Times New Roman" w:eastAsia="Times New Roman" w:hAnsi="Times New Roman" w:cs="Times New Roman"/>
          <w:spacing w:val="6"/>
          <w:w w:val="108"/>
          <w:sz w:val="20"/>
          <w:szCs w:val="20"/>
        </w:rPr>
        <w:t>,</w:t>
      </w:r>
      <w:r w:rsidRPr="00096CDE">
        <w:rPr>
          <w:rFonts w:ascii="Times New Roman" w:eastAsia="Times New Roman" w:hAnsi="Times New Roman" w:cs="Times New Roman"/>
          <w:w w:val="108"/>
          <w:sz w:val="20"/>
          <w:szCs w:val="20"/>
        </w:rPr>
        <w:t xml:space="preserve"> the</w:t>
      </w:r>
      <w:r w:rsidRPr="00096CDE">
        <w:rPr>
          <w:rFonts w:ascii="Times New Roman" w:eastAsia="Times New Roman" w:hAnsi="Times New Roman" w:cs="Times New Roman"/>
          <w:spacing w:val="-13"/>
          <w:w w:val="108"/>
          <w:sz w:val="20"/>
          <w:szCs w:val="20"/>
        </w:rPr>
        <w:t xml:space="preserve"> </w:t>
      </w:r>
      <w:r w:rsidRPr="00096CDE">
        <w:rPr>
          <w:rFonts w:ascii="Times New Roman" w:eastAsia="Times New Roman" w:hAnsi="Times New Roman" w:cs="Times New Roman"/>
          <w:sz w:val="20"/>
          <w:szCs w:val="20"/>
        </w:rPr>
        <w:t>head</w:t>
      </w:r>
      <w:r w:rsidRPr="00096CDE">
        <w:rPr>
          <w:rFonts w:ascii="Times New Roman" w:eastAsia="Times New Roman" w:hAnsi="Times New Roman" w:cs="Times New Roman"/>
          <w:spacing w:val="-1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19"/>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sz w:val="20"/>
          <w:szCs w:val="20"/>
        </w:rPr>
        <w:t>department</w:t>
      </w:r>
      <w:r w:rsidRPr="00096CDE">
        <w:rPr>
          <w:rFonts w:ascii="Times New Roman" w:eastAsia="Times New Roman" w:hAnsi="Times New Roman" w:cs="Times New Roman"/>
          <w:spacing w:val="7"/>
          <w:sz w:val="20"/>
          <w:szCs w:val="20"/>
        </w:rPr>
        <w:t>,</w:t>
      </w:r>
      <w:r w:rsidRPr="00096CDE">
        <w:rPr>
          <w:rFonts w:ascii="Times New Roman" w:eastAsia="Times New Roman" w:hAnsi="Times New Roman" w:cs="Times New Roman"/>
          <w:sz w:val="20"/>
          <w:szCs w:val="20"/>
        </w:rPr>
        <w:t xml:space="preserve"> agency, public body,</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sz w:val="20"/>
          <w:szCs w:val="20"/>
        </w:rPr>
        <w:t>or</w:t>
      </w:r>
      <w:r w:rsidRPr="00096CDE">
        <w:rPr>
          <w:rFonts w:ascii="Times New Roman" w:eastAsia="Times New Roman" w:hAnsi="Times New Roman" w:cs="Times New Roman"/>
          <w:spacing w:val="10"/>
          <w:sz w:val="20"/>
          <w:szCs w:val="20"/>
        </w:rPr>
        <w:t xml:space="preserve"> </w:t>
      </w:r>
      <w:r w:rsidRPr="00096CDE">
        <w:rPr>
          <w:rFonts w:ascii="Times New Roman" w:eastAsia="Times New Roman" w:hAnsi="Times New Roman" w:cs="Times New Roman"/>
          <w:w w:val="106"/>
          <w:sz w:val="20"/>
          <w:szCs w:val="20"/>
        </w:rPr>
        <w:t xml:space="preserve">private </w:t>
      </w:r>
      <w:r w:rsidRPr="00096CDE">
        <w:rPr>
          <w:rFonts w:ascii="Times New Roman" w:eastAsia="Times New Roman" w:hAnsi="Times New Roman" w:cs="Times New Roman"/>
          <w:sz w:val="20"/>
          <w:szCs w:val="20"/>
        </w:rPr>
        <w:t>entity</w:t>
      </w:r>
      <w:r w:rsidRPr="00096CDE">
        <w:rPr>
          <w:rFonts w:ascii="Times New Roman" w:eastAsia="Times New Roman" w:hAnsi="Times New Roman" w:cs="Times New Roman"/>
          <w:spacing w:val="37"/>
          <w:sz w:val="20"/>
          <w:szCs w:val="20"/>
        </w:rPr>
        <w:t xml:space="preserve"> </w:t>
      </w:r>
      <w:r w:rsidRPr="00096CDE">
        <w:rPr>
          <w:rFonts w:ascii="Times New Roman" w:eastAsia="Times New Roman" w:hAnsi="Times New Roman" w:cs="Times New Roman"/>
          <w:sz w:val="20"/>
          <w:szCs w:val="20"/>
        </w:rPr>
        <w:t>audited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sz w:val="20"/>
          <w:szCs w:val="20"/>
        </w:rPr>
        <w:t>shall</w:t>
      </w:r>
      <w:r w:rsidRPr="00096CDE">
        <w:rPr>
          <w:rFonts w:ascii="Times New Roman" w:eastAsia="Times New Roman" w:hAnsi="Times New Roman" w:cs="Times New Roman"/>
          <w:spacing w:val="-12"/>
          <w:sz w:val="20"/>
          <w:szCs w:val="20"/>
        </w:rPr>
        <w:t xml:space="preserve"> </w:t>
      </w:r>
      <w:r w:rsidRPr="00096CDE">
        <w:rPr>
          <w:rFonts w:ascii="Times New Roman" w:eastAsia="Times New Roman" w:hAnsi="Times New Roman" w:cs="Times New Roman"/>
          <w:sz w:val="20"/>
          <w:szCs w:val="20"/>
        </w:rPr>
        <w:t>respond,</w:t>
      </w:r>
      <w:r w:rsidRPr="00096CDE">
        <w:rPr>
          <w:rFonts w:ascii="Times New Roman" w:eastAsia="Times New Roman" w:hAnsi="Times New Roman" w:cs="Times New Roman"/>
          <w:spacing w:val="5"/>
          <w:sz w:val="20"/>
          <w:szCs w:val="20"/>
        </w:rPr>
        <w:t xml:space="preserve"> </w:t>
      </w:r>
      <w:r w:rsidRPr="00096CDE">
        <w:rPr>
          <w:rFonts w:ascii="Times New Roman" w:eastAsia="Times New Roman" w:hAnsi="Times New Roman" w:cs="Times New Roman"/>
          <w:sz w:val="20"/>
          <w:szCs w:val="20"/>
        </w:rPr>
        <w:t>in</w:t>
      </w:r>
      <w:r w:rsidRPr="00096CDE">
        <w:rPr>
          <w:rFonts w:ascii="Times New Roman" w:eastAsia="Times New Roman" w:hAnsi="Times New Roman" w:cs="Times New Roman"/>
          <w:spacing w:val="14"/>
          <w:sz w:val="20"/>
          <w:szCs w:val="20"/>
        </w:rPr>
        <w:t xml:space="preserve"> </w:t>
      </w:r>
      <w:r w:rsidRPr="00096CDE">
        <w:rPr>
          <w:rFonts w:ascii="Times New Roman" w:eastAsia="Times New Roman" w:hAnsi="Times New Roman" w:cs="Times New Roman"/>
          <w:sz w:val="20"/>
          <w:szCs w:val="20"/>
        </w:rPr>
        <w:t>writing,</w:t>
      </w:r>
      <w:r w:rsidRPr="00096CDE">
        <w:rPr>
          <w:rFonts w:ascii="Times New Roman" w:eastAsia="Times New Roman" w:hAnsi="Times New Roman" w:cs="Times New Roman"/>
          <w:spacing w:val="32"/>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22"/>
          <w:sz w:val="20"/>
          <w:szCs w:val="20"/>
        </w:rPr>
        <w:t xml:space="preserve"> </w:t>
      </w:r>
      <w:r w:rsidRPr="00096CDE">
        <w:rPr>
          <w:rFonts w:ascii="Times New Roman" w:eastAsia="Times New Roman" w:hAnsi="Times New Roman" w:cs="Times New Roman"/>
          <w:w w:val="98"/>
          <w:sz w:val="20"/>
          <w:szCs w:val="20"/>
        </w:rPr>
        <w:t>each</w:t>
      </w:r>
      <w:r w:rsidRPr="00096CDE">
        <w:rPr>
          <w:rFonts w:ascii="Times New Roman" w:eastAsia="Times New Roman" w:hAnsi="Times New Roman" w:cs="Times New Roman"/>
          <w:spacing w:val="-18"/>
          <w:w w:val="98"/>
          <w:sz w:val="20"/>
          <w:szCs w:val="20"/>
        </w:rPr>
        <w:t xml:space="preserve"> </w:t>
      </w:r>
      <w:r w:rsidRPr="00096CDE">
        <w:rPr>
          <w:rFonts w:ascii="Times New Roman" w:eastAsia="Times New Roman" w:hAnsi="Times New Roman" w:cs="Times New Roman"/>
          <w:sz w:val="20"/>
          <w:szCs w:val="20"/>
        </w:rPr>
        <w:t>recommendation</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made in</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26"/>
          <w:sz w:val="20"/>
          <w:szCs w:val="20"/>
        </w:rPr>
        <w:t xml:space="preserve"> </w:t>
      </w:r>
      <w:r w:rsidRPr="00096CDE">
        <w:rPr>
          <w:rFonts w:ascii="Times New Roman" w:eastAsia="Times New Roman" w:hAnsi="Times New Roman" w:cs="Times New Roman"/>
          <w:sz w:val="20"/>
          <w:szCs w:val="20"/>
        </w:rPr>
        <w:t>audit</w:t>
      </w:r>
      <w:r w:rsidRPr="00096CDE">
        <w:rPr>
          <w:rFonts w:ascii="Times New Roman" w:eastAsia="Times New Roman" w:hAnsi="Times New Roman" w:cs="Times New Roman"/>
          <w:spacing w:val="28"/>
          <w:sz w:val="20"/>
          <w:szCs w:val="20"/>
        </w:rPr>
        <w:t xml:space="preserve"> </w:t>
      </w:r>
      <w:r w:rsidRPr="00096CDE">
        <w:rPr>
          <w:rFonts w:ascii="Times New Roman" w:eastAsia="Times New Roman" w:hAnsi="Times New Roman" w:cs="Times New Roman"/>
          <w:w w:val="109"/>
          <w:sz w:val="20"/>
          <w:szCs w:val="20"/>
        </w:rPr>
        <w:t>repor</w:t>
      </w:r>
      <w:r w:rsidRPr="00096CDE">
        <w:rPr>
          <w:rFonts w:ascii="Times New Roman" w:eastAsia="Times New Roman" w:hAnsi="Times New Roman" w:cs="Times New Roman"/>
          <w:spacing w:val="-9"/>
          <w:w w:val="108"/>
          <w:sz w:val="20"/>
          <w:szCs w:val="20"/>
        </w:rPr>
        <w:t xml:space="preserve">t.” Accordingly, management submitted its response to the audit findings and recommendations on </w:t>
      </w:r>
      <w:r w:rsidR="0033092E">
        <w:rPr>
          <w:rFonts w:ascii="Times New Roman" w:eastAsia="Times New Roman" w:hAnsi="Times New Roman" w:cs="Times New Roman"/>
          <w:spacing w:val="-9"/>
          <w:w w:val="108"/>
          <w:sz w:val="20"/>
          <w:szCs w:val="20"/>
        </w:rPr>
        <w:t xml:space="preserve">September 24, </w:t>
      </w:r>
      <w:r w:rsidRPr="00096CDE">
        <w:rPr>
          <w:rFonts w:ascii="Times New Roman" w:eastAsia="Times New Roman" w:hAnsi="Times New Roman" w:cs="Times New Roman"/>
          <w:spacing w:val="-9"/>
          <w:w w:val="108"/>
          <w:sz w:val="20"/>
          <w:szCs w:val="20"/>
        </w:rPr>
        <w:t>2019, and such response is included in this report. P</w:t>
      </w:r>
      <w:r w:rsidRPr="00096CDE">
        <w:rPr>
          <w:rFonts w:ascii="Times New Roman" w:eastAsia="Times New Roman" w:hAnsi="Times New Roman" w:cs="Times New Roman"/>
          <w:sz w:val="20"/>
          <w:szCs w:val="20"/>
        </w:rPr>
        <w:t>ursuant</w:t>
      </w:r>
      <w:r w:rsidRPr="00096CDE">
        <w:rPr>
          <w:rFonts w:ascii="Times New Roman" w:eastAsia="Times New Roman" w:hAnsi="Times New Roman" w:cs="Times New Roman"/>
          <w:spacing w:val="-9"/>
          <w:sz w:val="20"/>
          <w:szCs w:val="20"/>
        </w:rPr>
        <w:t xml:space="preserve"> </w:t>
      </w:r>
      <w:r w:rsidRPr="00096CDE">
        <w:rPr>
          <w:rFonts w:ascii="Times New Roman" w:eastAsia="Times New Roman" w:hAnsi="Times New Roman" w:cs="Times New Roman"/>
          <w:sz w:val="20"/>
          <w:szCs w:val="20"/>
        </w:rPr>
        <w:t>to</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89"/>
          <w:sz w:val="20"/>
          <w:szCs w:val="20"/>
        </w:rPr>
        <w:t>this statute</w:t>
      </w:r>
      <w:r w:rsidRPr="00096CDE">
        <w:rPr>
          <w:rFonts w:ascii="Times New Roman" w:eastAsia="Times New Roman" w:hAnsi="Times New Roman" w:cs="Times New Roman"/>
          <w:w w:val="103"/>
          <w:sz w:val="20"/>
          <w:szCs w:val="20"/>
        </w:rPr>
        <w:t>,</w:t>
      </w:r>
      <w:r w:rsidRPr="00096CDE">
        <w:rPr>
          <w:rFonts w:ascii="Times New Roman" w:eastAsia="Times New Roman" w:hAnsi="Times New Roman" w:cs="Times New Roman"/>
          <w:spacing w:val="-42"/>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7"/>
          <w:sz w:val="20"/>
          <w:szCs w:val="20"/>
        </w:rPr>
        <w:t xml:space="preserve"> </w:t>
      </w:r>
      <w:r w:rsidRPr="00096CDE">
        <w:rPr>
          <w:rFonts w:ascii="Times New Roman" w:eastAsia="Times New Roman" w:hAnsi="Times New Roman" w:cs="Times New Roman"/>
          <w:w w:val="99"/>
          <w:sz w:val="20"/>
          <w:szCs w:val="20"/>
        </w:rPr>
        <w:t>OIA</w:t>
      </w:r>
      <w:r w:rsidRPr="00096CDE">
        <w:rPr>
          <w:rFonts w:ascii="Times New Roman" w:eastAsia="Times New Roman" w:hAnsi="Times New Roman" w:cs="Times New Roman"/>
          <w:spacing w:val="-18"/>
          <w:w w:val="99"/>
          <w:sz w:val="20"/>
          <w:szCs w:val="20"/>
        </w:rPr>
        <w:t xml:space="preserve"> </w:t>
      </w:r>
      <w:r w:rsidRPr="00096CDE">
        <w:rPr>
          <w:rFonts w:ascii="Times New Roman" w:eastAsia="Times New Roman" w:hAnsi="Times New Roman" w:cs="Times New Roman"/>
          <w:sz w:val="20"/>
          <w:szCs w:val="20"/>
        </w:rPr>
        <w:t>may follow</w:t>
      </w:r>
      <w:r w:rsidRPr="00096CDE">
        <w:rPr>
          <w:rFonts w:ascii="Times New Roman" w:eastAsia="Times New Roman" w:hAnsi="Times New Roman" w:cs="Times New Roman"/>
          <w:spacing w:val="30"/>
          <w:sz w:val="20"/>
          <w:szCs w:val="20"/>
        </w:rPr>
        <w:t xml:space="preserve"> </w:t>
      </w:r>
      <w:r w:rsidRPr="00096CDE">
        <w:rPr>
          <w:rFonts w:ascii="Times New Roman" w:eastAsia="Times New Roman" w:hAnsi="Times New Roman" w:cs="Times New Roman"/>
          <w:sz w:val="20"/>
          <w:szCs w:val="20"/>
        </w:rPr>
        <w:t>up</w:t>
      </w:r>
      <w:r w:rsidRPr="00096CDE">
        <w:rPr>
          <w:rFonts w:ascii="Times New Roman" w:eastAsia="Times New Roman" w:hAnsi="Times New Roman" w:cs="Times New Roman"/>
          <w:spacing w:val="2"/>
          <w:sz w:val="20"/>
          <w:szCs w:val="20"/>
        </w:rPr>
        <w:t xml:space="preserve"> </w:t>
      </w:r>
      <w:r w:rsidRPr="00096CDE">
        <w:rPr>
          <w:rFonts w:ascii="Times New Roman" w:eastAsia="Times New Roman" w:hAnsi="Times New Roman" w:cs="Times New Roman"/>
          <w:sz w:val="20"/>
          <w:szCs w:val="20"/>
        </w:rPr>
        <w:t>regarding</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sz w:val="20"/>
          <w:szCs w:val="20"/>
        </w:rPr>
        <w:t>recommendations</w:t>
      </w:r>
      <w:r w:rsidRPr="00096CDE">
        <w:rPr>
          <w:rFonts w:ascii="Times New Roman" w:eastAsia="Times New Roman" w:hAnsi="Times New Roman" w:cs="Times New Roman"/>
          <w:spacing w:val="21"/>
          <w:sz w:val="20"/>
          <w:szCs w:val="20"/>
        </w:rPr>
        <w:t xml:space="preserve"> </w:t>
      </w:r>
      <w:r w:rsidRPr="00096CDE">
        <w:rPr>
          <w:rFonts w:ascii="Times New Roman" w:eastAsia="Times New Roman" w:hAnsi="Times New Roman" w:cs="Times New Roman"/>
          <w:sz w:val="20"/>
          <w:szCs w:val="20"/>
        </w:rPr>
        <w:t>included</w:t>
      </w:r>
      <w:r w:rsidRPr="00096CDE">
        <w:rPr>
          <w:rFonts w:ascii="Times New Roman" w:eastAsia="Times New Roman" w:hAnsi="Times New Roman" w:cs="Times New Roman"/>
          <w:spacing w:val="18"/>
          <w:sz w:val="20"/>
          <w:szCs w:val="20"/>
        </w:rPr>
        <w:t xml:space="preserve"> </w:t>
      </w:r>
      <w:r w:rsidRPr="00096CDE">
        <w:rPr>
          <w:rFonts w:ascii="Times New Roman" w:eastAsia="Times New Roman" w:hAnsi="Times New Roman" w:cs="Times New Roman"/>
          <w:w w:val="120"/>
          <w:sz w:val="20"/>
          <w:szCs w:val="20"/>
        </w:rPr>
        <w:t xml:space="preserve">in </w:t>
      </w:r>
      <w:r w:rsidRPr="00096CDE">
        <w:rPr>
          <w:rFonts w:ascii="Times New Roman" w:eastAsia="Times New Roman" w:hAnsi="Times New Roman" w:cs="Times New Roman"/>
          <w:sz w:val="20"/>
          <w:szCs w:val="20"/>
        </w:rPr>
        <w:t>this</w:t>
      </w:r>
      <w:r w:rsidRPr="00096CDE">
        <w:rPr>
          <w:rFonts w:ascii="Times New Roman" w:eastAsia="Times New Roman" w:hAnsi="Times New Roman" w:cs="Times New Roman"/>
          <w:spacing w:val="15"/>
          <w:sz w:val="20"/>
          <w:szCs w:val="20"/>
        </w:rPr>
        <w:t xml:space="preserve"> </w:t>
      </w:r>
      <w:r w:rsidRPr="00096CDE">
        <w:rPr>
          <w:rFonts w:ascii="Times New Roman" w:eastAsia="Times New Roman" w:hAnsi="Times New Roman" w:cs="Times New Roman"/>
          <w:sz w:val="20"/>
          <w:szCs w:val="20"/>
        </w:rPr>
        <w:t>report</w:t>
      </w:r>
      <w:r w:rsidRPr="00096CDE">
        <w:rPr>
          <w:rFonts w:ascii="Times New Roman" w:eastAsia="Times New Roman" w:hAnsi="Times New Roman" w:cs="Times New Roman"/>
          <w:spacing w:val="33"/>
          <w:sz w:val="20"/>
          <w:szCs w:val="20"/>
        </w:rPr>
        <w:t xml:space="preserve"> </w:t>
      </w:r>
      <w:r w:rsidRPr="00096CDE">
        <w:rPr>
          <w:rFonts w:ascii="Times New Roman" w:eastAsia="Times New Roman" w:hAnsi="Times New Roman" w:cs="Times New Roman"/>
          <w:sz w:val="20"/>
          <w:szCs w:val="20"/>
        </w:rPr>
        <w:t>within</w:t>
      </w:r>
      <w:r w:rsidRPr="00096CDE">
        <w:rPr>
          <w:rFonts w:ascii="Times New Roman" w:eastAsia="Times New Roman" w:hAnsi="Times New Roman" w:cs="Times New Roman"/>
          <w:spacing w:val="36"/>
          <w:sz w:val="20"/>
          <w:szCs w:val="20"/>
        </w:rPr>
        <w:t xml:space="preserve"> </w:t>
      </w:r>
      <w:r w:rsidRPr="00096CDE">
        <w:rPr>
          <w:rFonts w:ascii="Times New Roman" w:eastAsia="Times New Roman" w:hAnsi="Times New Roman" w:cs="Times New Roman"/>
          <w:sz w:val="20"/>
          <w:szCs w:val="20"/>
        </w:rPr>
        <w:t>one</w:t>
      </w:r>
      <w:r w:rsidRPr="00096CDE">
        <w:rPr>
          <w:rFonts w:ascii="Times New Roman" w:eastAsia="Times New Roman" w:hAnsi="Times New Roman" w:cs="Times New Roman"/>
          <w:spacing w:val="3"/>
          <w:sz w:val="20"/>
          <w:szCs w:val="20"/>
        </w:rPr>
        <w:t xml:space="preserve"> </w:t>
      </w:r>
      <w:r w:rsidRPr="00096CDE">
        <w:rPr>
          <w:rFonts w:ascii="Times New Roman" w:eastAsia="Times New Roman" w:hAnsi="Times New Roman" w:cs="Times New Roman"/>
          <w:sz w:val="20"/>
          <w:szCs w:val="20"/>
        </w:rPr>
        <w:t>year</w:t>
      </w:r>
      <w:r w:rsidRPr="00096CDE">
        <w:rPr>
          <w:rFonts w:ascii="Times New Roman" w:eastAsia="Times New Roman" w:hAnsi="Times New Roman" w:cs="Times New Roman"/>
          <w:spacing w:val="-6"/>
          <w:sz w:val="20"/>
          <w:szCs w:val="20"/>
        </w:rPr>
        <w:t xml:space="preserve"> </w:t>
      </w:r>
      <w:r w:rsidRPr="00096CDE">
        <w:rPr>
          <w:rFonts w:ascii="Times New Roman" w:eastAsia="Times New Roman" w:hAnsi="Times New Roman" w:cs="Times New Roman"/>
          <w:sz w:val="20"/>
          <w:szCs w:val="20"/>
        </w:rPr>
        <w:t>following</w:t>
      </w:r>
      <w:r w:rsidRPr="00096CDE">
        <w:rPr>
          <w:rFonts w:ascii="Times New Roman" w:eastAsia="Times New Roman" w:hAnsi="Times New Roman" w:cs="Times New Roman"/>
          <w:spacing w:val="47"/>
          <w:sz w:val="20"/>
          <w:szCs w:val="20"/>
        </w:rPr>
        <w:t xml:space="preserve"> </w:t>
      </w:r>
      <w:r w:rsidRPr="00096CDE">
        <w:rPr>
          <w:rFonts w:ascii="Times New Roman" w:eastAsia="Times New Roman" w:hAnsi="Times New Roman" w:cs="Times New Roman"/>
          <w:sz w:val="20"/>
          <w:szCs w:val="20"/>
        </w:rPr>
        <w:t>the</w:t>
      </w:r>
      <w:r w:rsidRPr="00096CDE">
        <w:rPr>
          <w:rFonts w:ascii="Times New Roman" w:eastAsia="Times New Roman" w:hAnsi="Times New Roman" w:cs="Times New Roman"/>
          <w:spacing w:val="16"/>
          <w:sz w:val="20"/>
          <w:szCs w:val="20"/>
        </w:rPr>
        <w:t xml:space="preserve"> </w:t>
      </w:r>
      <w:r w:rsidRPr="00096CDE">
        <w:rPr>
          <w:rFonts w:ascii="Times New Roman" w:eastAsia="Times New Roman" w:hAnsi="Times New Roman" w:cs="Times New Roman"/>
          <w:sz w:val="20"/>
          <w:szCs w:val="20"/>
        </w:rPr>
        <w:t>date</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sz w:val="20"/>
          <w:szCs w:val="20"/>
        </w:rPr>
        <w:t>of</w:t>
      </w:r>
      <w:r w:rsidRPr="00096CDE">
        <w:rPr>
          <w:rFonts w:ascii="Times New Roman" w:eastAsia="Times New Roman" w:hAnsi="Times New Roman" w:cs="Times New Roman"/>
          <w:spacing w:val="8"/>
          <w:sz w:val="20"/>
          <w:szCs w:val="20"/>
        </w:rPr>
        <w:t xml:space="preserve"> </w:t>
      </w:r>
      <w:r w:rsidRPr="00096CDE">
        <w:rPr>
          <w:rFonts w:ascii="Times New Roman" w:eastAsia="Times New Roman" w:hAnsi="Times New Roman" w:cs="Times New Roman"/>
          <w:w w:val="97"/>
          <w:sz w:val="20"/>
          <w:szCs w:val="20"/>
        </w:rPr>
        <w:t>issuance</w:t>
      </w:r>
      <w:r w:rsidRPr="00096CDE">
        <w:rPr>
          <w:rFonts w:ascii="Times New Roman" w:eastAsia="Times New Roman" w:hAnsi="Times New Roman" w:cs="Times New Roman"/>
          <w:w w:val="109"/>
          <w:sz w:val="20"/>
          <w:szCs w:val="20"/>
        </w:rPr>
        <w:t>.</w:t>
      </w:r>
    </w:p>
    <w:p w14:paraId="01726795" w14:textId="77777777" w:rsidR="00FA5670" w:rsidRPr="00096CDE" w:rsidRDefault="00FA5670" w:rsidP="00FA5670">
      <w:pPr>
        <w:widowControl w:val="0"/>
        <w:spacing w:after="0" w:line="240" w:lineRule="auto"/>
        <w:ind w:right="720"/>
        <w:jc w:val="both"/>
        <w:rPr>
          <w:rFonts w:ascii="Times New Roman" w:eastAsia="Times New Roman" w:hAnsi="Times New Roman" w:cs="Times New Roman"/>
          <w:w w:val="109"/>
          <w:sz w:val="20"/>
          <w:szCs w:val="20"/>
        </w:rPr>
      </w:pPr>
    </w:p>
    <w:p w14:paraId="1CFC7D52" w14:textId="77777777" w:rsidR="00FA5670" w:rsidRPr="00096CDE" w:rsidRDefault="00FA5670" w:rsidP="00FA5670">
      <w:pPr>
        <w:widowControl w:val="0"/>
        <w:spacing w:after="0" w:line="240" w:lineRule="auto"/>
        <w:ind w:right="720"/>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We would like to express our sincere appreciation to the </w:t>
      </w:r>
      <w:r w:rsidR="00C535EB">
        <w:rPr>
          <w:rFonts w:ascii="Times New Roman" w:eastAsia="Times New Roman" w:hAnsi="Times New Roman" w:cs="Times New Roman"/>
          <w:sz w:val="20"/>
          <w:szCs w:val="20"/>
        </w:rPr>
        <w:t>RIIFC</w:t>
      </w:r>
      <w:r>
        <w:rPr>
          <w:rFonts w:ascii="Times New Roman" w:eastAsia="Times New Roman" w:hAnsi="Times New Roman" w:cs="Times New Roman"/>
          <w:sz w:val="20"/>
          <w:szCs w:val="20"/>
        </w:rPr>
        <w:t xml:space="preserve"> staff </w:t>
      </w:r>
      <w:r w:rsidRPr="00096CDE">
        <w:rPr>
          <w:rFonts w:ascii="Times New Roman" w:eastAsia="Times New Roman" w:hAnsi="Times New Roman" w:cs="Times New Roman"/>
          <w:sz w:val="20"/>
          <w:szCs w:val="20"/>
        </w:rPr>
        <w:t>for the cooperation and courtesy extended to the members of our team during this audit.</w:t>
      </w:r>
    </w:p>
    <w:p w14:paraId="1D60837E" w14:textId="77777777" w:rsidR="00FA5670" w:rsidRPr="00096CDE" w:rsidRDefault="00FA5670" w:rsidP="00FA5670">
      <w:pPr>
        <w:widowControl w:val="0"/>
        <w:spacing w:after="0" w:line="240" w:lineRule="auto"/>
        <w:ind w:right="720" w:firstLine="130"/>
        <w:jc w:val="both"/>
        <w:rPr>
          <w:rFonts w:ascii="Times New Roman" w:eastAsia="Times New Roman" w:hAnsi="Times New Roman" w:cs="Times New Roman"/>
          <w:sz w:val="20"/>
          <w:szCs w:val="20"/>
        </w:rPr>
      </w:pPr>
    </w:p>
    <w:p w14:paraId="1AA12971" w14:textId="77777777" w:rsidR="00FA5670" w:rsidRPr="00096CDE" w:rsidRDefault="00FA5670" w:rsidP="00FA5670">
      <w:pPr>
        <w:widowControl w:val="0"/>
        <w:spacing w:after="0" w:line="240" w:lineRule="auto"/>
        <w:jc w:val="both"/>
        <w:rPr>
          <w:rFonts w:ascii="Times New Roman" w:eastAsia="Times New Roman" w:hAnsi="Times New Roman" w:cs="Times New Roman"/>
          <w:w w:val="101"/>
          <w:sz w:val="20"/>
          <w:szCs w:val="20"/>
        </w:rPr>
      </w:pPr>
      <w:r w:rsidRPr="00096CDE">
        <w:rPr>
          <w:rFonts w:ascii="Times New Roman" w:eastAsia="Times New Roman" w:hAnsi="Times New Roman" w:cs="Times New Roman"/>
          <w:sz w:val="20"/>
          <w:szCs w:val="20"/>
        </w:rPr>
        <w:t>Respectfully</w:t>
      </w:r>
      <w:r w:rsidRPr="00096CDE">
        <w:rPr>
          <w:rFonts w:ascii="Times New Roman" w:eastAsia="Times New Roman" w:hAnsi="Times New Roman" w:cs="Times New Roman"/>
          <w:spacing w:val="-1"/>
          <w:sz w:val="20"/>
          <w:szCs w:val="20"/>
        </w:rPr>
        <w:t xml:space="preserve"> </w:t>
      </w:r>
      <w:r w:rsidRPr="00096CDE">
        <w:rPr>
          <w:rFonts w:ascii="Times New Roman" w:eastAsia="Times New Roman" w:hAnsi="Times New Roman" w:cs="Times New Roman"/>
          <w:w w:val="101"/>
          <w:sz w:val="20"/>
          <w:szCs w:val="20"/>
        </w:rPr>
        <w:t>yours,</w:t>
      </w:r>
    </w:p>
    <w:p w14:paraId="33BF99C6" w14:textId="77777777" w:rsidR="00FA5670" w:rsidRPr="00096CDE" w:rsidRDefault="00FA5670" w:rsidP="00FA5670">
      <w:pPr>
        <w:widowControl w:val="0"/>
        <w:spacing w:after="0" w:line="400" w:lineRule="auto"/>
        <w:ind w:firstLine="130"/>
        <w:jc w:val="both"/>
        <w:rPr>
          <w:rFonts w:ascii="Times New Roman" w:eastAsia="Times New Roman" w:hAnsi="Times New Roman" w:cs="Times New Roman"/>
          <w:w w:val="106"/>
          <w:sz w:val="20"/>
          <w:szCs w:val="20"/>
        </w:rPr>
      </w:pPr>
    </w:p>
    <w:p w14:paraId="587B0839" w14:textId="77777777" w:rsidR="00FA5670" w:rsidRPr="00096CDE" w:rsidRDefault="00FA5670" w:rsidP="00FA5670">
      <w:pPr>
        <w:widowControl w:val="0"/>
        <w:spacing w:after="0" w:line="100" w:lineRule="exact"/>
        <w:jc w:val="both"/>
        <w:rPr>
          <w:rFonts w:ascii="Times New Roman" w:eastAsia="Times New Roman" w:hAnsi="Times New Roman" w:cs="Times New Roman"/>
          <w:sz w:val="20"/>
          <w:szCs w:val="20"/>
        </w:rPr>
      </w:pPr>
    </w:p>
    <w:p w14:paraId="02F75940" w14:textId="77777777" w:rsidR="00FA5670" w:rsidRPr="00096CDE" w:rsidRDefault="00FA5670" w:rsidP="00FA5670">
      <w:pPr>
        <w:widowControl w:val="0"/>
        <w:spacing w:after="0" w:line="100" w:lineRule="exact"/>
        <w:jc w:val="both"/>
        <w:rPr>
          <w:rFonts w:ascii="Times New Roman" w:eastAsia="Times New Roman" w:hAnsi="Times New Roman" w:cs="Times New Roman"/>
          <w:sz w:val="20"/>
          <w:szCs w:val="20"/>
        </w:rPr>
      </w:pPr>
    </w:p>
    <w:p w14:paraId="6627A2A5" w14:textId="77777777" w:rsidR="00FA5670" w:rsidRPr="00096CDE" w:rsidRDefault="00FA5670" w:rsidP="00FA5670">
      <w:pPr>
        <w:widowControl w:val="0"/>
        <w:spacing w:after="0" w:line="200" w:lineRule="exact"/>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 xml:space="preserve">Dorothy Z. Pascale, CPA </w:t>
      </w:r>
    </w:p>
    <w:p w14:paraId="19978F34" w14:textId="77777777" w:rsidR="00FA5670" w:rsidRPr="00096CDE" w:rsidRDefault="00FA5670" w:rsidP="00FA5670">
      <w:pPr>
        <w:widowControl w:val="0"/>
        <w:spacing w:after="0" w:line="240" w:lineRule="auto"/>
        <w:jc w:val="both"/>
        <w:rPr>
          <w:rFonts w:ascii="Times New Roman" w:eastAsia="Times New Roman" w:hAnsi="Times New Roman" w:cs="Times New Roman"/>
          <w:sz w:val="20"/>
          <w:szCs w:val="20"/>
        </w:rPr>
      </w:pPr>
      <w:r w:rsidRPr="00096CDE">
        <w:rPr>
          <w:rFonts w:ascii="Times New Roman" w:eastAsia="Times New Roman" w:hAnsi="Times New Roman" w:cs="Times New Roman"/>
          <w:sz w:val="20"/>
          <w:szCs w:val="20"/>
        </w:rPr>
        <w:t>Chief</w:t>
      </w:r>
    </w:p>
    <w:p w14:paraId="665D80A6" w14:textId="77777777" w:rsidR="00FA5670" w:rsidRPr="00096CDE" w:rsidRDefault="00FA5670" w:rsidP="00FA5670">
      <w:pPr>
        <w:widowControl w:val="0"/>
        <w:tabs>
          <w:tab w:val="left" w:pos="840"/>
        </w:tabs>
        <w:spacing w:before="16" w:after="0" w:line="240" w:lineRule="auto"/>
        <w:ind w:right="-20"/>
        <w:jc w:val="both"/>
        <w:rPr>
          <w:rFonts w:ascii="Times New Roman" w:eastAsia="Times New Roman" w:hAnsi="Times New Roman" w:cs="Times New Roman"/>
          <w:sz w:val="20"/>
          <w:szCs w:val="20"/>
        </w:rPr>
      </w:pPr>
    </w:p>
    <w:p w14:paraId="2C1D5A70" w14:textId="77777777" w:rsidR="00FA5670" w:rsidRPr="00096CDE" w:rsidRDefault="00FA5670"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sz w:val="20"/>
          <w:szCs w:val="20"/>
        </w:rPr>
        <w:t>c—</w:t>
      </w:r>
      <w:r w:rsidRPr="00096CDE">
        <w:rPr>
          <w:rFonts w:ascii="Times New Roman" w:eastAsia="Times New Roman" w:hAnsi="Times New Roman" w:cs="Times New Roman"/>
          <w:w w:val="104"/>
          <w:sz w:val="20"/>
          <w:szCs w:val="20"/>
        </w:rPr>
        <w:t>Honorable William J. Conley Jr., Chairperson, Senate Committee on Finance</w:t>
      </w:r>
    </w:p>
    <w:p w14:paraId="7D23575F" w14:textId="77777777" w:rsidR="00FA5670" w:rsidRPr="00096CDE" w:rsidRDefault="00FA5670"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Honorable Marvin Abney, Chairperson, House Finance Committee</w:t>
      </w:r>
    </w:p>
    <w:p w14:paraId="4FDBCBCD" w14:textId="77777777" w:rsidR="00FA5670" w:rsidRPr="00096CDE" w:rsidRDefault="00FA5670"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Internal Audit Advisory Group</w:t>
      </w:r>
    </w:p>
    <w:p w14:paraId="3E264DB7" w14:textId="77777777" w:rsidR="00FA5670" w:rsidRPr="00096CDE" w:rsidRDefault="00FA5670"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Steven Whitney, Senate Fiscal Office</w:t>
      </w:r>
    </w:p>
    <w:p w14:paraId="5E8041F1" w14:textId="18433C72" w:rsidR="00FA5670" w:rsidRDefault="00FA5670"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sidRPr="00096CDE">
        <w:rPr>
          <w:rFonts w:ascii="Times New Roman" w:eastAsia="Times New Roman" w:hAnsi="Times New Roman" w:cs="Times New Roman"/>
          <w:w w:val="104"/>
          <w:sz w:val="20"/>
          <w:szCs w:val="20"/>
        </w:rPr>
        <w:tab/>
        <w:t>David Trembly, Senate Fiscal Office</w:t>
      </w:r>
    </w:p>
    <w:p w14:paraId="6672AD50" w14:textId="0CD26D51" w:rsidR="002373CD" w:rsidRPr="00096CDE" w:rsidRDefault="002373CD" w:rsidP="00FA5670">
      <w:pPr>
        <w:widowControl w:val="0"/>
        <w:tabs>
          <w:tab w:val="left" w:pos="840"/>
        </w:tabs>
        <w:spacing w:before="16" w:after="0" w:line="240" w:lineRule="auto"/>
        <w:ind w:left="180" w:right="-20" w:hanging="180"/>
        <w:jc w:val="both"/>
        <w:rPr>
          <w:rFonts w:ascii="Times New Roman" w:eastAsia="Times New Roman" w:hAnsi="Times New Roman" w:cs="Times New Roman"/>
          <w:w w:val="104"/>
          <w:sz w:val="20"/>
          <w:szCs w:val="20"/>
        </w:rPr>
      </w:pPr>
      <w:r>
        <w:rPr>
          <w:rFonts w:ascii="Times New Roman" w:eastAsia="Times New Roman" w:hAnsi="Times New Roman" w:cs="Times New Roman"/>
          <w:w w:val="104"/>
          <w:sz w:val="20"/>
          <w:szCs w:val="20"/>
        </w:rPr>
        <w:tab/>
        <w:t xml:space="preserve">John Ward, Chairman, Rhode Island Industrial Facilities Corporation Board of Directors </w:t>
      </w:r>
    </w:p>
    <w:p w14:paraId="796E99EE" w14:textId="77777777" w:rsidR="00FA5670" w:rsidRPr="002E7137" w:rsidRDefault="00FA5670" w:rsidP="00FA5670">
      <w:pPr>
        <w:jc w:val="both"/>
        <w:rPr>
          <w:rFonts w:ascii="Cambria" w:hAnsi="Cambria"/>
          <w:b/>
          <w:bCs/>
          <w:color w:val="365F91"/>
          <w:sz w:val="28"/>
          <w:szCs w:val="28"/>
        </w:rPr>
      </w:pPr>
      <w:r w:rsidRPr="00A106A6">
        <w:rPr>
          <w:rFonts w:ascii="Calibri" w:eastAsia="Calibri" w:hAnsi="Calibri"/>
          <w:noProof/>
        </w:rPr>
        <w:lastRenderedPageBreak/>
        <mc:AlternateContent>
          <mc:Choice Requires="wps">
            <w:drawing>
              <wp:anchor distT="0" distB="0" distL="114300" distR="114300" simplePos="0" relativeHeight="251659264" behindDoc="0" locked="0" layoutInCell="0" allowOverlap="1" wp14:anchorId="3E5EBE1C" wp14:editId="53B01FCC">
                <wp:simplePos x="0" y="0"/>
                <wp:positionH relativeFrom="page">
                  <wp:posOffset>609600</wp:posOffset>
                </wp:positionH>
                <wp:positionV relativeFrom="page">
                  <wp:posOffset>476250</wp:posOffset>
                </wp:positionV>
                <wp:extent cx="3164205" cy="9144000"/>
                <wp:effectExtent l="0" t="247650" r="226695" b="0"/>
                <wp:wrapSquare wrapText="bothSides"/>
                <wp:docPr id="3"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4205" cy="9144000"/>
                        </a:xfrm>
                        <a:prstGeom prst="rect">
                          <a:avLst/>
                        </a:prstGeom>
                        <a:solidFill>
                          <a:srgbClr val="DBE5F1">
                            <a:alpha val="87057"/>
                          </a:srgbClr>
                        </a:solidFill>
                        <a:ln>
                          <a:noFill/>
                        </a:ln>
                        <a:effectLst>
                          <a:outerShdw dist="317500" dir="18728253" sx="100101" sy="100101" algn="ctr" rotWithShape="0">
                            <a:srgbClr val="D4CFB3">
                              <a:alpha val="45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DC0530E" w14:textId="77777777" w:rsidR="00FA5670" w:rsidRPr="00E84070" w:rsidRDefault="00FA5670" w:rsidP="00FA5670">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263F02A0" w14:textId="77777777" w:rsidR="00FA5670" w:rsidRPr="00D570AD" w:rsidRDefault="00FA5670" w:rsidP="00FA5670">
                            <w:pPr>
                              <w:widowControl w:val="0"/>
                              <w:rPr>
                                <w:i/>
                                <w:iCs/>
                                <w:color w:val="1F497D"/>
                              </w:rPr>
                            </w:pPr>
                          </w:p>
                          <w:p w14:paraId="5A5472FD" w14:textId="77777777" w:rsidR="00FA5670" w:rsidRDefault="00FA5670" w:rsidP="00FA5670">
                            <w:pPr>
                              <w:jc w:val="both"/>
                              <w:rPr>
                                <w:b/>
                              </w:rPr>
                            </w:pPr>
                            <w:r w:rsidRPr="008068D3">
                              <w:rPr>
                                <w:b/>
                              </w:rPr>
                              <w:t xml:space="preserve">Why the </w:t>
                            </w:r>
                            <w:r>
                              <w:rPr>
                                <w:b/>
                              </w:rPr>
                              <w:t>Office of Internal Audit</w:t>
                            </w:r>
                            <w:r w:rsidRPr="008068D3">
                              <w:rPr>
                                <w:b/>
                              </w:rPr>
                              <w:t xml:space="preserve"> Did This Review</w:t>
                            </w:r>
                          </w:p>
                          <w:p w14:paraId="74CC3CF5" w14:textId="77777777" w:rsidR="00FA5670" w:rsidRDefault="00FA5670" w:rsidP="00FA5670">
                            <w:pPr>
                              <w:rPr>
                                <w:rFonts w:cstheme="minorHAnsi"/>
                              </w:rPr>
                            </w:pPr>
                            <w:r w:rsidRPr="00AD19FD">
                              <w:rPr>
                                <w:rFonts w:cstheme="minorHAnsi"/>
                              </w:rPr>
                              <w:t xml:space="preserve">Rhode Island General Law 42-155-7, Audit of quasi-public corporations, requires the Office of Internal Audit (OIA) to conduct a performance audit of all quasi-public corporations once every five years.  </w:t>
                            </w:r>
                            <w:r w:rsidR="00C535EB">
                              <w:rPr>
                                <w:rFonts w:cstheme="minorHAnsi"/>
                              </w:rPr>
                              <w:t>T</w:t>
                            </w:r>
                            <w:r w:rsidRPr="00AD19FD">
                              <w:rPr>
                                <w:rFonts w:cstheme="minorHAnsi"/>
                              </w:rPr>
                              <w:t>his audit of the</w:t>
                            </w:r>
                            <w:r w:rsidR="00C535EB">
                              <w:rPr>
                                <w:rFonts w:cstheme="minorHAnsi"/>
                              </w:rPr>
                              <w:t xml:space="preserve"> Rhode Island Industrial Facilities Corporation (RIIFC)</w:t>
                            </w:r>
                            <w:r w:rsidRPr="00AD19FD">
                              <w:rPr>
                                <w:rFonts w:cstheme="minorHAnsi"/>
                              </w:rPr>
                              <w:t xml:space="preserve"> was performed in compliance with the statue</w:t>
                            </w:r>
                            <w:r w:rsidR="00C535EB">
                              <w:rPr>
                                <w:rFonts w:cstheme="minorHAnsi"/>
                              </w:rPr>
                              <w:t>.</w:t>
                            </w:r>
                          </w:p>
                          <w:p w14:paraId="5A4B762B" w14:textId="77777777" w:rsidR="00FA5670" w:rsidRPr="00AD19FD" w:rsidRDefault="00FA5670" w:rsidP="00FA5670">
                            <w:pPr>
                              <w:rPr>
                                <w:rFonts w:cstheme="minorHAnsi"/>
                              </w:rPr>
                            </w:pPr>
                            <w:r>
                              <w:rPr>
                                <w:rFonts w:cstheme="minorHAnsi"/>
                              </w:rPr>
                              <w:t xml:space="preserve">The OIA conducted a limited scope audit of the </w:t>
                            </w:r>
                            <w:r w:rsidR="00C535EB">
                              <w:rPr>
                                <w:rFonts w:cstheme="minorHAnsi"/>
                              </w:rPr>
                              <w:t>RIIFC</w:t>
                            </w:r>
                            <w:r>
                              <w:rPr>
                                <w:rFonts w:cstheme="minorHAnsi"/>
                              </w:rPr>
                              <w:t xml:space="preserve"> to review its compliance with the Quasi-Public Corporations Accountability and Transparency Act as well as evaluate whether operations were being administered efficient</w:t>
                            </w:r>
                            <w:r w:rsidR="00C535EB">
                              <w:rPr>
                                <w:rFonts w:cstheme="minorHAnsi"/>
                              </w:rPr>
                              <w:t>ly</w:t>
                            </w:r>
                            <w:r>
                              <w:rPr>
                                <w:rFonts w:cstheme="minorHAnsi"/>
                              </w:rPr>
                              <w:t xml:space="preserve"> and effectively and in accordance with applicable rules and regulations. </w:t>
                            </w:r>
                          </w:p>
                          <w:p w14:paraId="1C013082" w14:textId="77777777" w:rsidR="00FA5670" w:rsidRPr="00EE7726" w:rsidRDefault="00FA5670" w:rsidP="00FA5670">
                            <w:pPr>
                              <w:rPr>
                                <w:rFonts w:cstheme="minorHAnsi"/>
                              </w:rPr>
                            </w:pPr>
                          </w:p>
                          <w:p w14:paraId="74AE9961" w14:textId="77777777" w:rsidR="00FA5670" w:rsidRPr="001E6E94" w:rsidRDefault="00FA5670" w:rsidP="00FA5670">
                            <w:pPr>
                              <w:rPr>
                                <w:b/>
                              </w:rPr>
                            </w:pPr>
                            <w:r w:rsidRPr="001E6E94">
                              <w:rPr>
                                <w:b/>
                              </w:rPr>
                              <w:t>Background Information</w:t>
                            </w:r>
                          </w:p>
                          <w:p w14:paraId="693F1A3E" w14:textId="12F89F4D" w:rsidR="00C535EB" w:rsidRDefault="00C535EB" w:rsidP="00C535EB">
                            <w:r>
                              <w:t xml:space="preserve">The Rhode Island Industrial Facilities Corporation (RIIFC) is a public body corporate of the State of Rhode Island and obtained this designation and authority from Section 45-37.1 of </w:t>
                            </w:r>
                            <w:r w:rsidR="00D86375">
                              <w:t>the Rhode</w:t>
                            </w:r>
                            <w:r w:rsidR="005C02F6">
                              <w:t xml:space="preserve"> Island </w:t>
                            </w:r>
                            <w:r w:rsidR="00D86375">
                              <w:t>General Laws</w:t>
                            </w:r>
                            <w:r>
                              <w:t>.</w:t>
                            </w:r>
                          </w:p>
                          <w:p w14:paraId="34DEAE0A" w14:textId="77777777" w:rsidR="00C535EB" w:rsidRDefault="00C535EB" w:rsidP="00C535EB">
                            <w:r>
                              <w:t xml:space="preserve">The purpose of the RIIFC is to act as the issuer of tax-exempt and taxable revenue bonds, which are sold to private or public investors, on behalf of Rhode Island companies seeking financing.  The role of the RIIFC is to act as a conduit in a company’s efforts to obtain financing from sources other than the Corporation. The Corporation is utilized to foster economic growth within the State. </w:t>
                            </w:r>
                          </w:p>
                          <w:p w14:paraId="5DC79697" w14:textId="77777777" w:rsidR="00FA5670" w:rsidRPr="001E6E94" w:rsidRDefault="00FA5670" w:rsidP="00FA5670">
                            <w:pPr>
                              <w:jc w:val="both"/>
                            </w:pP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EBE1C" id="Rectangle 399" o:spid="_x0000_s1026" style="position:absolute;left:0;text-align:left;margin-left:48pt;margin-top:37.5pt;width:249.15pt;height:10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" o:allowincell="f" fillcolor="#dbe5f1" stroked="f">
                <v:fill opacity="57054f"/>
                <v:shadow on="t" type="perspective" color="#d4cfb3" opacity="29491f" offset="5.91708mm,-6.53994mm" matrix="65602f,,,65602f"/>
                <v:textbox inset="28.8pt,7.2pt,14.4pt,7.2pt">
                  <w:txbxContent>
                    <w:p w14:paraId="0DC0530E" w14:textId="77777777" w:rsidR="00FA5670" w:rsidRPr="00E84070" w:rsidRDefault="00FA5670" w:rsidP="00FA5670">
                      <w:pPr>
                        <w:rPr>
                          <w:sz w:val="32"/>
                          <w:szCs w:val="32"/>
                        </w:rPr>
                      </w:pPr>
                      <w:r w:rsidRPr="00E95383">
                        <w:rPr>
                          <w:b/>
                          <w:sz w:val="32"/>
                          <w:szCs w:val="32"/>
                        </w:rPr>
                        <w:t>Audit</w:t>
                      </w:r>
                      <w:r w:rsidRPr="00E84070">
                        <w:rPr>
                          <w:b/>
                          <w:sz w:val="32"/>
                          <w:szCs w:val="32"/>
                        </w:rPr>
                        <w:t xml:space="preserve"> E</w:t>
                      </w:r>
                      <w:r w:rsidRPr="00275961">
                        <w:rPr>
                          <w:b/>
                          <w:sz w:val="32"/>
                          <w:szCs w:val="32"/>
                        </w:rPr>
                        <w:t xml:space="preserve">xecutive </w:t>
                      </w:r>
                      <w:r w:rsidRPr="00E84070">
                        <w:rPr>
                          <w:b/>
                          <w:sz w:val="32"/>
                          <w:szCs w:val="32"/>
                        </w:rPr>
                        <w:t>S</w:t>
                      </w:r>
                      <w:r w:rsidRPr="00275961">
                        <w:rPr>
                          <w:b/>
                          <w:sz w:val="32"/>
                          <w:szCs w:val="32"/>
                        </w:rPr>
                        <w:t>ummary</w:t>
                      </w:r>
                    </w:p>
                    <w:p w14:paraId="263F02A0" w14:textId="77777777" w:rsidR="00FA5670" w:rsidRPr="00D570AD" w:rsidRDefault="00FA5670" w:rsidP="00FA5670">
                      <w:pPr>
                        <w:widowControl w:val="0"/>
                        <w:rPr>
                          <w:i/>
                          <w:iCs/>
                          <w:color w:val="1F497D"/>
                        </w:rPr>
                      </w:pPr>
                    </w:p>
                    <w:p w14:paraId="5A5472FD" w14:textId="77777777" w:rsidR="00FA5670" w:rsidRDefault="00FA5670" w:rsidP="00FA5670">
                      <w:pPr>
                        <w:jc w:val="both"/>
                        <w:rPr>
                          <w:b/>
                        </w:rPr>
                      </w:pPr>
                      <w:r w:rsidRPr="008068D3">
                        <w:rPr>
                          <w:b/>
                        </w:rPr>
                        <w:t xml:space="preserve">Why the </w:t>
                      </w:r>
                      <w:r>
                        <w:rPr>
                          <w:b/>
                        </w:rPr>
                        <w:t>Office of Internal Audit</w:t>
                      </w:r>
                      <w:r w:rsidRPr="008068D3">
                        <w:rPr>
                          <w:b/>
                        </w:rPr>
                        <w:t xml:space="preserve"> Did This Review</w:t>
                      </w:r>
                    </w:p>
                    <w:p w14:paraId="74CC3CF5" w14:textId="77777777" w:rsidR="00FA5670" w:rsidRDefault="00FA5670" w:rsidP="00FA5670">
                      <w:pPr>
                        <w:rPr>
                          <w:rFonts w:cstheme="minorHAnsi"/>
                        </w:rPr>
                      </w:pPr>
                      <w:r w:rsidRPr="00AD19FD">
                        <w:rPr>
                          <w:rFonts w:cstheme="minorHAnsi"/>
                        </w:rPr>
                        <w:t xml:space="preserve">Rhode Island General Law 42-155-7, Audit of quasi-public corporations, requires the Office of Internal Audit (OIA) to conduct a performance audit of all quasi-public corporations once every five years.  </w:t>
                      </w:r>
                      <w:r w:rsidR="00C535EB">
                        <w:rPr>
                          <w:rFonts w:cstheme="minorHAnsi"/>
                        </w:rPr>
                        <w:t>T</w:t>
                      </w:r>
                      <w:r w:rsidRPr="00AD19FD">
                        <w:rPr>
                          <w:rFonts w:cstheme="minorHAnsi"/>
                        </w:rPr>
                        <w:t>his audit of the</w:t>
                      </w:r>
                      <w:r w:rsidR="00C535EB">
                        <w:rPr>
                          <w:rFonts w:cstheme="minorHAnsi"/>
                        </w:rPr>
                        <w:t xml:space="preserve"> Rhode Island Industrial Facilities Corporation (RIIFC)</w:t>
                      </w:r>
                      <w:r w:rsidRPr="00AD19FD">
                        <w:rPr>
                          <w:rFonts w:cstheme="minorHAnsi"/>
                        </w:rPr>
                        <w:t xml:space="preserve"> was performed in compliance with the statue</w:t>
                      </w:r>
                      <w:r w:rsidR="00C535EB">
                        <w:rPr>
                          <w:rFonts w:cstheme="minorHAnsi"/>
                        </w:rPr>
                        <w:t>.</w:t>
                      </w:r>
                    </w:p>
                    <w:p w14:paraId="5A4B762B" w14:textId="77777777" w:rsidR="00FA5670" w:rsidRPr="00AD19FD" w:rsidRDefault="00FA5670" w:rsidP="00FA5670">
                      <w:pPr>
                        <w:rPr>
                          <w:rFonts w:cstheme="minorHAnsi"/>
                        </w:rPr>
                      </w:pPr>
                      <w:r>
                        <w:rPr>
                          <w:rFonts w:cstheme="minorHAnsi"/>
                        </w:rPr>
                        <w:t xml:space="preserve">The OIA conducted a limited scope audit of the </w:t>
                      </w:r>
                      <w:r w:rsidR="00C535EB">
                        <w:rPr>
                          <w:rFonts w:cstheme="minorHAnsi"/>
                        </w:rPr>
                        <w:t>RIIFC</w:t>
                      </w:r>
                      <w:r>
                        <w:rPr>
                          <w:rFonts w:cstheme="minorHAnsi"/>
                        </w:rPr>
                        <w:t xml:space="preserve"> to review its compliance with the Quasi-Public Corporations Accountability and Transparency Act as well as evaluate whether operations were being administered efficient</w:t>
                      </w:r>
                      <w:r w:rsidR="00C535EB">
                        <w:rPr>
                          <w:rFonts w:cstheme="minorHAnsi"/>
                        </w:rPr>
                        <w:t>ly</w:t>
                      </w:r>
                      <w:r>
                        <w:rPr>
                          <w:rFonts w:cstheme="minorHAnsi"/>
                        </w:rPr>
                        <w:t xml:space="preserve"> and effectively and in accordance with applicable rules and regulations. </w:t>
                      </w:r>
                    </w:p>
                    <w:p w14:paraId="1C013082" w14:textId="77777777" w:rsidR="00FA5670" w:rsidRPr="00EE7726" w:rsidRDefault="00FA5670" w:rsidP="00FA5670">
                      <w:pPr>
                        <w:rPr>
                          <w:rFonts w:cstheme="minorHAnsi"/>
                        </w:rPr>
                      </w:pPr>
                    </w:p>
                    <w:p w14:paraId="74AE9961" w14:textId="77777777" w:rsidR="00FA5670" w:rsidRPr="001E6E94" w:rsidRDefault="00FA5670" w:rsidP="00FA5670">
                      <w:pPr>
                        <w:rPr>
                          <w:b/>
                        </w:rPr>
                      </w:pPr>
                      <w:r w:rsidRPr="001E6E94">
                        <w:rPr>
                          <w:b/>
                        </w:rPr>
                        <w:t>Background Information</w:t>
                      </w:r>
                    </w:p>
                    <w:p w14:paraId="693F1A3E" w14:textId="12F89F4D" w:rsidR="00C535EB" w:rsidRDefault="00C535EB" w:rsidP="00C535EB">
                      <w:r>
                        <w:t xml:space="preserve">The Rhode Island Industrial Facilities Corporation (RIIFC) is a public body corporate of the State of Rhode Island and obtained this designation and authority from Section 45-37.1 of </w:t>
                      </w:r>
                      <w:r w:rsidR="00D86375">
                        <w:t>the Rhode</w:t>
                      </w:r>
                      <w:r w:rsidR="005C02F6">
                        <w:t xml:space="preserve"> Island </w:t>
                      </w:r>
                      <w:r w:rsidR="00D86375">
                        <w:t>General Laws</w:t>
                      </w:r>
                      <w:r>
                        <w:t>.</w:t>
                      </w:r>
                    </w:p>
                    <w:p w14:paraId="34DEAE0A" w14:textId="77777777" w:rsidR="00C535EB" w:rsidRDefault="00C535EB" w:rsidP="00C535EB">
                      <w:r>
                        <w:t xml:space="preserve">The purpose of the RIIFC is to act as the issuer of tax-exempt and taxable revenue bonds, which are sold to private or public investors, on behalf of Rhode Island companies seeking financing.  The role of the RIIFC is to act as a conduit in a company’s efforts to obtain financing from sources other than the Corporation. The Corporation is utilized to foster economic growth within the State. </w:t>
                      </w:r>
                    </w:p>
                    <w:p w14:paraId="5DC79697" w14:textId="77777777" w:rsidR="00FA5670" w:rsidRPr="001E6E94" w:rsidRDefault="00FA5670" w:rsidP="00FA5670">
                      <w:pPr>
                        <w:jc w:val="both"/>
                      </w:pPr>
                    </w:p>
                  </w:txbxContent>
                </v:textbox>
                <w10:wrap type="square" anchorx="page" anchory="page"/>
              </v:rect>
            </w:pict>
          </mc:Fallback>
        </mc:AlternateContent>
      </w:r>
      <w:r>
        <w:rPr>
          <w:b/>
        </w:rPr>
        <w:t xml:space="preserve">To Strengthen Controls, the </w:t>
      </w:r>
      <w:r w:rsidR="00C535EB">
        <w:rPr>
          <w:b/>
        </w:rPr>
        <w:t>Rhode Island Industrial Facilities Corporation</w:t>
      </w:r>
      <w:r>
        <w:rPr>
          <w:b/>
        </w:rPr>
        <w:t xml:space="preserve"> </w:t>
      </w:r>
      <w:r w:rsidRPr="006D4E7F">
        <w:rPr>
          <w:b/>
        </w:rPr>
        <w:t>should</w:t>
      </w:r>
      <w:r>
        <w:rPr>
          <w:b/>
        </w:rPr>
        <w:t>:</w:t>
      </w:r>
    </w:p>
    <w:p w14:paraId="2314486F" w14:textId="77777777" w:rsidR="00FA5670" w:rsidRPr="002E7137" w:rsidRDefault="00FA5670" w:rsidP="00FA5670">
      <w:pPr>
        <w:pStyle w:val="ListParagraph"/>
        <w:rPr>
          <w:rFonts w:asciiTheme="minorHAnsi" w:hAnsiTheme="minorHAnsi"/>
          <w:sz w:val="22"/>
          <w:szCs w:val="22"/>
        </w:rPr>
      </w:pPr>
    </w:p>
    <w:p w14:paraId="32F1DE5D" w14:textId="77777777" w:rsidR="00D86375" w:rsidRPr="005C02F6" w:rsidRDefault="00D86375" w:rsidP="00D86375">
      <w:pPr>
        <w:pStyle w:val="ListParagraph"/>
        <w:numPr>
          <w:ilvl w:val="0"/>
          <w:numId w:val="3"/>
        </w:numPr>
        <w:spacing w:after="180" w:line="276" w:lineRule="auto"/>
        <w:rPr>
          <w:rFonts w:asciiTheme="minorHAnsi" w:hAnsiTheme="minorHAnsi"/>
          <w:color w:val="000000"/>
          <w:sz w:val="22"/>
          <w:szCs w:val="22"/>
          <w:u w:color="000000"/>
        </w:rPr>
      </w:pPr>
      <w:r>
        <w:rPr>
          <w:rFonts w:asciiTheme="minorHAnsi" w:hAnsiTheme="minorHAnsi"/>
          <w:color w:val="000000"/>
          <w:sz w:val="22"/>
          <w:szCs w:val="22"/>
          <w:u w:color="000000"/>
        </w:rPr>
        <w:t xml:space="preserve">Ensure competitive pricing is obtained for each private placement bond. </w:t>
      </w:r>
    </w:p>
    <w:p w14:paraId="5E4FB579" w14:textId="77777777" w:rsidR="00D86375" w:rsidRPr="00D86375" w:rsidRDefault="00D86375" w:rsidP="00D86375">
      <w:pPr>
        <w:spacing w:after="180" w:line="276" w:lineRule="auto"/>
        <w:ind w:left="360"/>
        <w:rPr>
          <w:color w:val="000000"/>
          <w:u w:color="000000"/>
        </w:rPr>
      </w:pPr>
    </w:p>
    <w:p w14:paraId="5C2B7F4C" w14:textId="283A4401" w:rsidR="00FA5670" w:rsidRPr="005C02F6" w:rsidRDefault="00FA5670" w:rsidP="00FA5670">
      <w:pPr>
        <w:pStyle w:val="ListParagraph"/>
        <w:numPr>
          <w:ilvl w:val="0"/>
          <w:numId w:val="3"/>
        </w:numPr>
        <w:spacing w:after="180" w:line="276" w:lineRule="auto"/>
        <w:rPr>
          <w:rFonts w:asciiTheme="minorHAnsi" w:hAnsiTheme="minorHAnsi"/>
          <w:color w:val="000000"/>
          <w:sz w:val="22"/>
          <w:szCs w:val="22"/>
          <w:u w:color="000000"/>
        </w:rPr>
      </w:pPr>
      <w:r w:rsidRPr="002E7137">
        <w:rPr>
          <w:rFonts w:asciiTheme="minorHAnsi" w:hAnsiTheme="minorHAnsi"/>
          <w:sz w:val="22"/>
          <w:szCs w:val="22"/>
        </w:rPr>
        <w:t>Comply with requirements of Quasi-Public Corporations Accountability and Transparency Act.</w:t>
      </w:r>
    </w:p>
    <w:p w14:paraId="69C208E5" w14:textId="77777777" w:rsidR="005C02F6" w:rsidRPr="005C02F6" w:rsidRDefault="005C02F6" w:rsidP="005C02F6">
      <w:pPr>
        <w:pStyle w:val="ListParagraph"/>
        <w:spacing w:after="180" w:line="276" w:lineRule="auto"/>
        <w:rPr>
          <w:rFonts w:asciiTheme="minorHAnsi" w:hAnsiTheme="minorHAnsi"/>
          <w:color w:val="000000"/>
          <w:sz w:val="22"/>
          <w:szCs w:val="22"/>
          <w:u w:color="000000"/>
        </w:rPr>
      </w:pPr>
    </w:p>
    <w:p w14:paraId="7E3F43EE" w14:textId="77777777" w:rsidR="005C02F6" w:rsidRPr="005C02F6" w:rsidRDefault="005C02F6" w:rsidP="005C02F6">
      <w:pPr>
        <w:pStyle w:val="ListParagraph"/>
        <w:spacing w:after="180" w:line="276" w:lineRule="auto"/>
        <w:rPr>
          <w:rFonts w:asciiTheme="minorHAnsi" w:hAnsiTheme="minorHAnsi"/>
          <w:color w:val="000000"/>
          <w:sz w:val="22"/>
          <w:szCs w:val="22"/>
          <w:u w:color="000000"/>
        </w:rPr>
      </w:pPr>
    </w:p>
    <w:p w14:paraId="3C97C191" w14:textId="15C15EFF" w:rsidR="005C02F6" w:rsidRDefault="005C02F6" w:rsidP="005C02F6">
      <w:pPr>
        <w:pStyle w:val="ListParagraph"/>
        <w:numPr>
          <w:ilvl w:val="0"/>
          <w:numId w:val="3"/>
        </w:numPr>
        <w:spacing w:after="180" w:line="276" w:lineRule="auto"/>
        <w:rPr>
          <w:rFonts w:asciiTheme="minorHAnsi" w:hAnsiTheme="minorHAnsi"/>
          <w:color w:val="000000"/>
          <w:sz w:val="22"/>
          <w:szCs w:val="22"/>
          <w:u w:color="000000"/>
        </w:rPr>
      </w:pPr>
      <w:r>
        <w:rPr>
          <w:rFonts w:asciiTheme="minorHAnsi" w:hAnsiTheme="minorHAnsi"/>
          <w:color w:val="000000"/>
          <w:sz w:val="22"/>
          <w:szCs w:val="22"/>
          <w:u w:color="000000"/>
        </w:rPr>
        <w:t>Develop a formal policy to govern bond issuance and monitoring processes.</w:t>
      </w:r>
    </w:p>
    <w:p w14:paraId="077EB7F0" w14:textId="24250214" w:rsidR="005C02F6" w:rsidRDefault="005C02F6" w:rsidP="005C02F6">
      <w:pPr>
        <w:pStyle w:val="ListParagraph"/>
        <w:rPr>
          <w:rFonts w:asciiTheme="minorHAnsi" w:hAnsiTheme="minorHAnsi"/>
          <w:color w:val="000000"/>
          <w:sz w:val="22"/>
          <w:szCs w:val="22"/>
          <w:u w:color="000000"/>
        </w:rPr>
      </w:pPr>
    </w:p>
    <w:p w14:paraId="3ACD8BB0" w14:textId="77777777" w:rsidR="005C02F6" w:rsidRPr="005C02F6" w:rsidRDefault="005C02F6" w:rsidP="005C02F6">
      <w:pPr>
        <w:pStyle w:val="ListParagraph"/>
        <w:rPr>
          <w:rFonts w:asciiTheme="minorHAnsi" w:hAnsiTheme="minorHAnsi"/>
          <w:color w:val="000000"/>
          <w:sz w:val="22"/>
          <w:szCs w:val="22"/>
          <w:u w:color="000000"/>
        </w:rPr>
      </w:pPr>
    </w:p>
    <w:p w14:paraId="0BBF7090" w14:textId="77777777" w:rsidR="00FA5670" w:rsidRPr="002E7137" w:rsidRDefault="00FA5670" w:rsidP="00FA5670">
      <w:pPr>
        <w:pStyle w:val="ListParagraph"/>
        <w:spacing w:after="180" w:line="276" w:lineRule="auto"/>
        <w:rPr>
          <w:rFonts w:asciiTheme="minorHAnsi" w:hAnsiTheme="minorHAnsi"/>
          <w:color w:val="000000"/>
          <w:sz w:val="22"/>
          <w:szCs w:val="22"/>
          <w:u w:color="000000"/>
        </w:rPr>
      </w:pPr>
    </w:p>
    <w:p w14:paraId="4A4DF1A5" w14:textId="77777777" w:rsidR="00FA5670" w:rsidRPr="002E7137" w:rsidRDefault="00FA5670" w:rsidP="00FA5670">
      <w:pPr>
        <w:pStyle w:val="ListParagraph"/>
        <w:spacing w:after="180" w:line="276" w:lineRule="auto"/>
        <w:rPr>
          <w:rFonts w:asciiTheme="minorHAnsi" w:hAnsiTheme="minorHAnsi"/>
          <w:sz w:val="22"/>
          <w:szCs w:val="22"/>
        </w:rPr>
      </w:pPr>
    </w:p>
    <w:p w14:paraId="2B3C1CA9" w14:textId="77777777" w:rsidR="00FA5670" w:rsidRDefault="00FA5670" w:rsidP="00FA5670">
      <w:pPr>
        <w:spacing w:after="180" w:line="276" w:lineRule="auto"/>
      </w:pPr>
    </w:p>
    <w:p w14:paraId="3C245171" w14:textId="77777777" w:rsidR="00FA5670" w:rsidRDefault="00FA5670" w:rsidP="00FA5670"/>
    <w:p w14:paraId="585531EB" w14:textId="77777777" w:rsidR="00FA5670" w:rsidRDefault="00FA5670" w:rsidP="00FA5670"/>
    <w:p w14:paraId="5768E45A" w14:textId="77777777" w:rsidR="00FA5670" w:rsidRDefault="00FA5670" w:rsidP="00FA5670"/>
    <w:p w14:paraId="6E0D44AF" w14:textId="77777777" w:rsidR="00FA5670" w:rsidRDefault="00FA5670" w:rsidP="00FA5670"/>
    <w:p w14:paraId="0E10CE4F" w14:textId="77777777" w:rsidR="00FA5670" w:rsidRDefault="00FA5670" w:rsidP="00FA5670"/>
    <w:p w14:paraId="35C7735C" w14:textId="77777777" w:rsidR="00FA5670" w:rsidRDefault="00FA5670" w:rsidP="00FA5670"/>
    <w:p w14:paraId="3FA14EEA" w14:textId="77777777" w:rsidR="00FA5670" w:rsidRDefault="00FA5670" w:rsidP="00FA5670"/>
    <w:p w14:paraId="2A5D2D38" w14:textId="77777777" w:rsidR="00FA5670" w:rsidRDefault="00FA5670" w:rsidP="00FA5670"/>
    <w:p w14:paraId="679D708A" w14:textId="1DF34144" w:rsidR="005C02F6" w:rsidRDefault="005C02F6" w:rsidP="00FA5670"/>
    <w:p w14:paraId="181B8D18" w14:textId="74009ED1" w:rsidR="005C02F6" w:rsidRDefault="005C02F6" w:rsidP="00FA5670"/>
    <w:p w14:paraId="56D9B49B" w14:textId="78F281BC" w:rsidR="005C02F6" w:rsidRDefault="005C02F6" w:rsidP="00FA5670"/>
    <w:p w14:paraId="0A680AED" w14:textId="5477E2DD" w:rsidR="005C02F6" w:rsidRDefault="005C02F6" w:rsidP="00FA5670"/>
    <w:p w14:paraId="16471E0A" w14:textId="415832BC" w:rsidR="005C02F6" w:rsidRDefault="005C02F6" w:rsidP="00FA5670"/>
    <w:p w14:paraId="6F9F2C9D" w14:textId="487F6677" w:rsidR="005C02F6" w:rsidRDefault="005C02F6" w:rsidP="00FA5670"/>
    <w:p w14:paraId="5A8ABE91" w14:textId="17BDAAA1" w:rsidR="005C02F6" w:rsidRDefault="005C02F6" w:rsidP="00FA5670"/>
    <w:p w14:paraId="62478FD1" w14:textId="6E654101" w:rsidR="005C02F6" w:rsidRDefault="005C02F6" w:rsidP="00FA5670"/>
    <w:p w14:paraId="3D7BBBC6" w14:textId="4EDF70DF" w:rsidR="005C02F6" w:rsidRDefault="005C02F6" w:rsidP="00FA5670"/>
    <w:p w14:paraId="42A320FB" w14:textId="77777777" w:rsidR="005C02F6" w:rsidRDefault="005C02F6" w:rsidP="00FA5670"/>
    <w:sdt>
      <w:sdtPr>
        <w:id w:val="1376351033"/>
        <w:docPartObj>
          <w:docPartGallery w:val="Table of Contents"/>
          <w:docPartUnique/>
        </w:docPartObj>
      </w:sdtPr>
      <w:sdtEndPr>
        <w:rPr>
          <w:b/>
          <w:bCs/>
          <w:noProof/>
        </w:rPr>
      </w:sdtEndPr>
      <w:sdtContent>
        <w:p w14:paraId="4AA19959" w14:textId="77777777" w:rsidR="00FA5670" w:rsidRPr="00B16AF8" w:rsidRDefault="00FA5670" w:rsidP="00FA5670">
          <w:pPr>
            <w:jc w:val="both"/>
            <w:rPr>
              <w:rFonts w:ascii="Calibri Light" w:hAnsi="Calibri Light"/>
            </w:rPr>
          </w:pPr>
          <w:r w:rsidRPr="00B16AF8">
            <w:rPr>
              <w:rFonts w:ascii="Calibri Light" w:hAnsi="Calibri Light"/>
            </w:rPr>
            <w:t>Contents</w:t>
          </w:r>
        </w:p>
        <w:p w14:paraId="43F39B70" w14:textId="6409E40E" w:rsidR="00F007B0" w:rsidRDefault="00FA5670">
          <w:pPr>
            <w:pStyle w:val="TOC1"/>
            <w:tabs>
              <w:tab w:val="right" w:leader="dot" w:pos="9350"/>
            </w:tabs>
            <w:rPr>
              <w:rFonts w:eastAsiaTheme="minorEastAsia"/>
              <w:noProof/>
            </w:rPr>
          </w:pPr>
          <w:r w:rsidRPr="00B16AF8">
            <w:rPr>
              <w:rFonts w:ascii="Calibri Light" w:hAnsi="Calibri Light"/>
            </w:rPr>
            <w:fldChar w:fldCharType="begin"/>
          </w:r>
          <w:r w:rsidRPr="00B16AF8">
            <w:rPr>
              <w:rFonts w:ascii="Calibri Light" w:hAnsi="Calibri Light"/>
            </w:rPr>
            <w:instrText xml:space="preserve"> TOC \o "1-3" \h \z \u </w:instrText>
          </w:r>
          <w:r w:rsidRPr="00B16AF8">
            <w:rPr>
              <w:rFonts w:ascii="Calibri Light" w:hAnsi="Calibri Light"/>
            </w:rPr>
            <w:fldChar w:fldCharType="separate"/>
          </w:r>
          <w:bookmarkStart w:id="0" w:name="_GoBack"/>
          <w:bookmarkEnd w:id="0"/>
          <w:r w:rsidR="00F007B0" w:rsidRPr="009C23B3">
            <w:rPr>
              <w:rStyle w:val="Hyperlink"/>
              <w:noProof/>
            </w:rPr>
            <w:fldChar w:fldCharType="begin"/>
          </w:r>
          <w:r w:rsidR="00F007B0" w:rsidRPr="009C23B3">
            <w:rPr>
              <w:rStyle w:val="Hyperlink"/>
              <w:noProof/>
            </w:rPr>
            <w:instrText xml:space="preserve"> </w:instrText>
          </w:r>
          <w:r w:rsidR="00F007B0">
            <w:rPr>
              <w:noProof/>
            </w:rPr>
            <w:instrText>HYPERLINK \l "_Toc20398937"</w:instrText>
          </w:r>
          <w:r w:rsidR="00F007B0" w:rsidRPr="009C23B3">
            <w:rPr>
              <w:rStyle w:val="Hyperlink"/>
              <w:noProof/>
            </w:rPr>
            <w:instrText xml:space="preserve"> </w:instrText>
          </w:r>
          <w:r w:rsidR="00F007B0" w:rsidRPr="009C23B3">
            <w:rPr>
              <w:rStyle w:val="Hyperlink"/>
              <w:noProof/>
            </w:rPr>
          </w:r>
          <w:r w:rsidR="00F007B0" w:rsidRPr="009C23B3">
            <w:rPr>
              <w:rStyle w:val="Hyperlink"/>
              <w:noProof/>
            </w:rPr>
            <w:fldChar w:fldCharType="separate"/>
          </w:r>
          <w:r w:rsidR="00F007B0" w:rsidRPr="009C23B3">
            <w:rPr>
              <w:rStyle w:val="Hyperlink"/>
              <w:bCs/>
              <w:noProof/>
            </w:rPr>
            <w:t>Introduction</w:t>
          </w:r>
          <w:r w:rsidR="00F007B0">
            <w:rPr>
              <w:noProof/>
              <w:webHidden/>
            </w:rPr>
            <w:tab/>
          </w:r>
          <w:r w:rsidR="00F007B0">
            <w:rPr>
              <w:noProof/>
              <w:webHidden/>
            </w:rPr>
            <w:fldChar w:fldCharType="begin"/>
          </w:r>
          <w:r w:rsidR="00F007B0">
            <w:rPr>
              <w:noProof/>
              <w:webHidden/>
            </w:rPr>
            <w:instrText xml:space="preserve"> PAGEREF _Toc20398937 \h </w:instrText>
          </w:r>
          <w:r w:rsidR="00F007B0">
            <w:rPr>
              <w:noProof/>
              <w:webHidden/>
            </w:rPr>
          </w:r>
          <w:r w:rsidR="00F007B0">
            <w:rPr>
              <w:noProof/>
              <w:webHidden/>
            </w:rPr>
            <w:fldChar w:fldCharType="separate"/>
          </w:r>
          <w:r w:rsidR="00F007B0">
            <w:rPr>
              <w:noProof/>
              <w:webHidden/>
            </w:rPr>
            <w:t>4</w:t>
          </w:r>
          <w:r w:rsidR="00F007B0">
            <w:rPr>
              <w:noProof/>
              <w:webHidden/>
            </w:rPr>
            <w:fldChar w:fldCharType="end"/>
          </w:r>
          <w:r w:rsidR="00F007B0" w:rsidRPr="009C23B3">
            <w:rPr>
              <w:rStyle w:val="Hyperlink"/>
              <w:noProof/>
            </w:rPr>
            <w:fldChar w:fldCharType="end"/>
          </w:r>
        </w:p>
        <w:p w14:paraId="739EEEC1" w14:textId="0C3F801A" w:rsidR="00F007B0" w:rsidRDefault="00F007B0">
          <w:pPr>
            <w:pStyle w:val="TOC1"/>
            <w:tabs>
              <w:tab w:val="right" w:leader="dot" w:pos="9350"/>
            </w:tabs>
            <w:rPr>
              <w:rFonts w:eastAsiaTheme="minorEastAsia"/>
              <w:noProof/>
            </w:rPr>
          </w:pPr>
          <w:hyperlink w:anchor="_Toc20398938" w:history="1">
            <w:r w:rsidRPr="009C23B3">
              <w:rPr>
                <w:rStyle w:val="Hyperlink"/>
                <w:noProof/>
              </w:rPr>
              <w:t>Recommendations and Management’s Responses</w:t>
            </w:r>
            <w:r>
              <w:rPr>
                <w:noProof/>
                <w:webHidden/>
              </w:rPr>
              <w:tab/>
            </w:r>
            <w:r>
              <w:rPr>
                <w:noProof/>
                <w:webHidden/>
              </w:rPr>
              <w:fldChar w:fldCharType="begin"/>
            </w:r>
            <w:r>
              <w:rPr>
                <w:noProof/>
                <w:webHidden/>
              </w:rPr>
              <w:instrText xml:space="preserve"> PAGEREF _Toc20398938 \h </w:instrText>
            </w:r>
            <w:r>
              <w:rPr>
                <w:noProof/>
                <w:webHidden/>
              </w:rPr>
            </w:r>
            <w:r>
              <w:rPr>
                <w:noProof/>
                <w:webHidden/>
              </w:rPr>
              <w:fldChar w:fldCharType="separate"/>
            </w:r>
            <w:r>
              <w:rPr>
                <w:noProof/>
                <w:webHidden/>
              </w:rPr>
              <w:t>4</w:t>
            </w:r>
            <w:r>
              <w:rPr>
                <w:noProof/>
                <w:webHidden/>
              </w:rPr>
              <w:fldChar w:fldCharType="end"/>
            </w:r>
          </w:hyperlink>
        </w:p>
        <w:p w14:paraId="333A4CE3" w14:textId="5A6C6F3E" w:rsidR="00F007B0" w:rsidRDefault="00F007B0">
          <w:pPr>
            <w:pStyle w:val="TOC2"/>
            <w:tabs>
              <w:tab w:val="right" w:leader="dot" w:pos="9350"/>
            </w:tabs>
            <w:rPr>
              <w:rFonts w:eastAsiaTheme="minorEastAsia"/>
              <w:noProof/>
            </w:rPr>
          </w:pPr>
          <w:hyperlink w:anchor="_Toc20398939" w:history="1">
            <w:r w:rsidRPr="009C23B3">
              <w:rPr>
                <w:rStyle w:val="Hyperlink"/>
                <w:noProof/>
              </w:rPr>
              <w:t>Ensure Competitive Pricing is Obtained for each Private Placement Bond</w:t>
            </w:r>
            <w:r>
              <w:rPr>
                <w:noProof/>
                <w:webHidden/>
              </w:rPr>
              <w:tab/>
            </w:r>
            <w:r>
              <w:rPr>
                <w:noProof/>
                <w:webHidden/>
              </w:rPr>
              <w:fldChar w:fldCharType="begin"/>
            </w:r>
            <w:r>
              <w:rPr>
                <w:noProof/>
                <w:webHidden/>
              </w:rPr>
              <w:instrText xml:space="preserve"> PAGEREF _Toc20398939 \h </w:instrText>
            </w:r>
            <w:r>
              <w:rPr>
                <w:noProof/>
                <w:webHidden/>
              </w:rPr>
            </w:r>
            <w:r>
              <w:rPr>
                <w:noProof/>
                <w:webHidden/>
              </w:rPr>
              <w:fldChar w:fldCharType="separate"/>
            </w:r>
            <w:r>
              <w:rPr>
                <w:noProof/>
                <w:webHidden/>
              </w:rPr>
              <w:t>4</w:t>
            </w:r>
            <w:r>
              <w:rPr>
                <w:noProof/>
                <w:webHidden/>
              </w:rPr>
              <w:fldChar w:fldCharType="end"/>
            </w:r>
          </w:hyperlink>
        </w:p>
        <w:p w14:paraId="5EA47428" w14:textId="4F0F3D52" w:rsidR="00F007B0" w:rsidRDefault="00F007B0">
          <w:pPr>
            <w:pStyle w:val="TOC2"/>
            <w:tabs>
              <w:tab w:val="right" w:leader="dot" w:pos="9350"/>
            </w:tabs>
            <w:rPr>
              <w:rFonts w:eastAsiaTheme="minorEastAsia"/>
              <w:noProof/>
            </w:rPr>
          </w:pPr>
          <w:hyperlink w:anchor="_Toc20398940" w:history="1">
            <w:r w:rsidRPr="009C23B3">
              <w:rPr>
                <w:rStyle w:val="Hyperlink"/>
                <w:noProof/>
              </w:rPr>
              <w:t>Comply with Requirements of the Quasi-Public Corporations Accountability and Transparency Act</w:t>
            </w:r>
            <w:r>
              <w:rPr>
                <w:noProof/>
                <w:webHidden/>
              </w:rPr>
              <w:tab/>
            </w:r>
            <w:r>
              <w:rPr>
                <w:noProof/>
                <w:webHidden/>
              </w:rPr>
              <w:fldChar w:fldCharType="begin"/>
            </w:r>
            <w:r>
              <w:rPr>
                <w:noProof/>
                <w:webHidden/>
              </w:rPr>
              <w:instrText xml:space="preserve"> PAGEREF _Toc20398940 \h </w:instrText>
            </w:r>
            <w:r>
              <w:rPr>
                <w:noProof/>
                <w:webHidden/>
              </w:rPr>
            </w:r>
            <w:r>
              <w:rPr>
                <w:noProof/>
                <w:webHidden/>
              </w:rPr>
              <w:fldChar w:fldCharType="separate"/>
            </w:r>
            <w:r>
              <w:rPr>
                <w:noProof/>
                <w:webHidden/>
              </w:rPr>
              <w:t>6</w:t>
            </w:r>
            <w:r>
              <w:rPr>
                <w:noProof/>
                <w:webHidden/>
              </w:rPr>
              <w:fldChar w:fldCharType="end"/>
            </w:r>
          </w:hyperlink>
        </w:p>
        <w:p w14:paraId="66091E9C" w14:textId="582016CE" w:rsidR="00F007B0" w:rsidRDefault="00F007B0">
          <w:pPr>
            <w:pStyle w:val="TOC2"/>
            <w:tabs>
              <w:tab w:val="right" w:leader="dot" w:pos="9350"/>
            </w:tabs>
            <w:rPr>
              <w:rFonts w:eastAsiaTheme="minorEastAsia"/>
              <w:noProof/>
            </w:rPr>
          </w:pPr>
          <w:hyperlink w:anchor="_Toc20398941" w:history="1">
            <w:r w:rsidRPr="009C23B3">
              <w:rPr>
                <w:rStyle w:val="Hyperlink"/>
                <w:noProof/>
              </w:rPr>
              <w:t>Develop Formal Policy to Govern Bond Issuance and Monitoring Processes</w:t>
            </w:r>
            <w:r>
              <w:rPr>
                <w:noProof/>
                <w:webHidden/>
              </w:rPr>
              <w:tab/>
            </w:r>
            <w:r>
              <w:rPr>
                <w:noProof/>
                <w:webHidden/>
              </w:rPr>
              <w:fldChar w:fldCharType="begin"/>
            </w:r>
            <w:r>
              <w:rPr>
                <w:noProof/>
                <w:webHidden/>
              </w:rPr>
              <w:instrText xml:space="preserve"> PAGEREF _Toc20398941 \h </w:instrText>
            </w:r>
            <w:r>
              <w:rPr>
                <w:noProof/>
                <w:webHidden/>
              </w:rPr>
            </w:r>
            <w:r>
              <w:rPr>
                <w:noProof/>
                <w:webHidden/>
              </w:rPr>
              <w:fldChar w:fldCharType="separate"/>
            </w:r>
            <w:r>
              <w:rPr>
                <w:noProof/>
                <w:webHidden/>
              </w:rPr>
              <w:t>7</w:t>
            </w:r>
            <w:r>
              <w:rPr>
                <w:noProof/>
                <w:webHidden/>
              </w:rPr>
              <w:fldChar w:fldCharType="end"/>
            </w:r>
          </w:hyperlink>
        </w:p>
        <w:p w14:paraId="06E83F16" w14:textId="2053F9FB" w:rsidR="00F007B0" w:rsidRDefault="00F007B0">
          <w:pPr>
            <w:pStyle w:val="TOC1"/>
            <w:tabs>
              <w:tab w:val="right" w:leader="dot" w:pos="9350"/>
            </w:tabs>
            <w:rPr>
              <w:rFonts w:eastAsiaTheme="minorEastAsia"/>
              <w:noProof/>
            </w:rPr>
          </w:pPr>
          <w:hyperlink w:anchor="_Toc20398942" w:history="1">
            <w:r w:rsidRPr="009C23B3">
              <w:rPr>
                <w:rStyle w:val="Hyperlink"/>
                <w:noProof/>
              </w:rPr>
              <w:t>Objective and Scope</w:t>
            </w:r>
            <w:r>
              <w:rPr>
                <w:noProof/>
                <w:webHidden/>
              </w:rPr>
              <w:tab/>
            </w:r>
            <w:r>
              <w:rPr>
                <w:noProof/>
                <w:webHidden/>
              </w:rPr>
              <w:fldChar w:fldCharType="begin"/>
            </w:r>
            <w:r>
              <w:rPr>
                <w:noProof/>
                <w:webHidden/>
              </w:rPr>
              <w:instrText xml:space="preserve"> PAGEREF _Toc20398942 \h </w:instrText>
            </w:r>
            <w:r>
              <w:rPr>
                <w:noProof/>
                <w:webHidden/>
              </w:rPr>
            </w:r>
            <w:r>
              <w:rPr>
                <w:noProof/>
                <w:webHidden/>
              </w:rPr>
              <w:fldChar w:fldCharType="separate"/>
            </w:r>
            <w:r>
              <w:rPr>
                <w:noProof/>
                <w:webHidden/>
              </w:rPr>
              <w:t>7</w:t>
            </w:r>
            <w:r>
              <w:rPr>
                <w:noProof/>
                <w:webHidden/>
              </w:rPr>
              <w:fldChar w:fldCharType="end"/>
            </w:r>
          </w:hyperlink>
        </w:p>
        <w:p w14:paraId="16C8DE80" w14:textId="1CC985C5" w:rsidR="00F007B0" w:rsidRDefault="00F007B0">
          <w:pPr>
            <w:pStyle w:val="TOC1"/>
            <w:tabs>
              <w:tab w:val="right" w:leader="dot" w:pos="9350"/>
            </w:tabs>
            <w:rPr>
              <w:rFonts w:eastAsiaTheme="minorEastAsia"/>
              <w:noProof/>
            </w:rPr>
          </w:pPr>
          <w:hyperlink w:anchor="_Toc20398943" w:history="1">
            <w:r w:rsidRPr="009C23B3">
              <w:rPr>
                <w:rStyle w:val="Hyperlink"/>
                <w:noProof/>
              </w:rPr>
              <w:t>Methodology</w:t>
            </w:r>
            <w:r>
              <w:rPr>
                <w:noProof/>
                <w:webHidden/>
              </w:rPr>
              <w:tab/>
            </w:r>
            <w:r>
              <w:rPr>
                <w:noProof/>
                <w:webHidden/>
              </w:rPr>
              <w:fldChar w:fldCharType="begin"/>
            </w:r>
            <w:r>
              <w:rPr>
                <w:noProof/>
                <w:webHidden/>
              </w:rPr>
              <w:instrText xml:space="preserve"> PAGEREF _Toc20398943 \h </w:instrText>
            </w:r>
            <w:r>
              <w:rPr>
                <w:noProof/>
                <w:webHidden/>
              </w:rPr>
            </w:r>
            <w:r>
              <w:rPr>
                <w:noProof/>
                <w:webHidden/>
              </w:rPr>
              <w:fldChar w:fldCharType="separate"/>
            </w:r>
            <w:r>
              <w:rPr>
                <w:noProof/>
                <w:webHidden/>
              </w:rPr>
              <w:t>8</w:t>
            </w:r>
            <w:r>
              <w:rPr>
                <w:noProof/>
                <w:webHidden/>
              </w:rPr>
              <w:fldChar w:fldCharType="end"/>
            </w:r>
          </w:hyperlink>
        </w:p>
        <w:p w14:paraId="4C399469" w14:textId="003D1FA5" w:rsidR="00FA5670" w:rsidRDefault="00FA5670" w:rsidP="00FA5670">
          <w:pPr>
            <w:jc w:val="both"/>
          </w:pPr>
          <w:r w:rsidRPr="00B16AF8">
            <w:rPr>
              <w:rFonts w:ascii="Calibri Light" w:hAnsi="Calibri Light"/>
              <w:b/>
              <w:bCs/>
              <w:noProof/>
            </w:rPr>
            <w:fldChar w:fldCharType="end"/>
          </w:r>
        </w:p>
      </w:sdtContent>
    </w:sdt>
    <w:p w14:paraId="57FF56D6" w14:textId="77777777" w:rsidR="00FA5670" w:rsidRPr="002F40C9" w:rsidRDefault="00FA5670" w:rsidP="00FA5670">
      <w:pPr>
        <w:jc w:val="both"/>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79B32FA6" w14:textId="77777777" w:rsidR="00FA5670" w:rsidRDefault="00FA5670" w:rsidP="00FA5670">
      <w:pPr>
        <w:pStyle w:val="Heading1"/>
        <w:spacing w:before="0"/>
        <w:jc w:val="center"/>
        <w:rPr>
          <w:rFonts w:asciiTheme="minorHAnsi" w:hAnsiTheme="minorHAnsi"/>
          <w:bCs/>
          <w:sz w:val="28"/>
          <w:szCs w:val="28"/>
        </w:rPr>
      </w:pPr>
      <w:bookmarkStart w:id="1" w:name="_Toc457293024"/>
      <w:bookmarkStart w:id="2" w:name="_Toc485821352"/>
      <w:bookmarkStart w:id="3" w:name="_Toc20398937"/>
      <w:r w:rsidRPr="00B16AF8">
        <w:rPr>
          <w:rFonts w:asciiTheme="minorHAnsi" w:hAnsiTheme="minorHAnsi"/>
          <w:bCs/>
          <w:sz w:val="28"/>
          <w:szCs w:val="28"/>
        </w:rPr>
        <w:lastRenderedPageBreak/>
        <w:t>Introduction</w:t>
      </w:r>
      <w:bookmarkEnd w:id="1"/>
      <w:bookmarkEnd w:id="2"/>
      <w:bookmarkEnd w:id="3"/>
    </w:p>
    <w:p w14:paraId="6A37E053" w14:textId="77777777" w:rsidR="00FA5670" w:rsidRPr="00B0722D" w:rsidRDefault="00FA5670" w:rsidP="00FA5670"/>
    <w:p w14:paraId="40193F01" w14:textId="7D500B60" w:rsidR="00BC418A" w:rsidRDefault="00C535EB" w:rsidP="00BC418A">
      <w:pPr>
        <w:jc w:val="both"/>
      </w:pPr>
      <w:r>
        <w:t>The Rhode Island Industrial Facilities Corporation (RIIFC)</w:t>
      </w:r>
      <w:r w:rsidR="002373CD">
        <w:t xml:space="preserve"> </w:t>
      </w:r>
      <w:r>
        <w:t xml:space="preserve">is a public body corporate </w:t>
      </w:r>
      <w:r w:rsidR="002373CD">
        <w:t xml:space="preserve">created in </w:t>
      </w:r>
      <w:r w:rsidR="00D86375">
        <w:t>1956 and</w:t>
      </w:r>
      <w:r>
        <w:t xml:space="preserve"> obtained this designation and authority from Section 45-37.1 of the </w:t>
      </w:r>
      <w:r w:rsidR="00BC418A">
        <w:t xml:space="preserve">Rhode Island </w:t>
      </w:r>
      <w:r>
        <w:t xml:space="preserve">General </w:t>
      </w:r>
      <w:r w:rsidR="00BC418A">
        <w:t>L</w:t>
      </w:r>
      <w:r>
        <w:t>aws</w:t>
      </w:r>
      <w:r w:rsidR="00BC418A">
        <w:t xml:space="preserve"> (RIGL)</w:t>
      </w:r>
      <w:r>
        <w:t>.</w:t>
      </w:r>
      <w:r w:rsidR="00BC418A" w:rsidRPr="00BC418A">
        <w:t xml:space="preserve"> </w:t>
      </w:r>
      <w:r w:rsidR="002373CD">
        <w:t xml:space="preserve">Its purpose upon creation was to induce, encourage facilities industrial development by acquiring, constructing, financing, or leasing industrial projects. </w:t>
      </w:r>
      <w:r w:rsidR="00BC418A">
        <w:t xml:space="preserve">The </w:t>
      </w:r>
      <w:r w:rsidR="002373CD">
        <w:t>RIIFC</w:t>
      </w:r>
      <w:r w:rsidR="00BC418A">
        <w:t xml:space="preserve"> is utilized to foster economic growth within the State and may act as a conduit</w:t>
      </w:r>
      <w:r w:rsidR="00BC418A">
        <w:rPr>
          <w:rStyle w:val="FootnoteReference"/>
        </w:rPr>
        <w:footnoteReference w:id="1"/>
      </w:r>
      <w:r w:rsidR="00BC418A">
        <w:t xml:space="preserve"> in a public company’s efforts to obtain financing from sources other than the RIIFC. </w:t>
      </w:r>
    </w:p>
    <w:p w14:paraId="57B8B579" w14:textId="52A74704" w:rsidR="002373CD" w:rsidRDefault="002373CD" w:rsidP="00BC418A">
      <w:pPr>
        <w:jc w:val="both"/>
      </w:pPr>
      <w:r>
        <w:t>The RIIFC is governed by a Board of Directors</w:t>
      </w:r>
      <w:r w:rsidR="0018040D">
        <w:t xml:space="preserve"> (Board)</w:t>
      </w:r>
      <w:r>
        <w:t xml:space="preserve"> and the Rhode Island Commerce Corporation (“Commerce RI”) provides administrative support and office space to the Rhode Island Industrial Recreational Building Authority. It manages the administration, business and policy decisions of the financial service program to assure compliance with board actions and policies.</w:t>
      </w:r>
    </w:p>
    <w:p w14:paraId="642D6F5F" w14:textId="3E63F3E3" w:rsidR="00BC418A" w:rsidRDefault="00C535EB" w:rsidP="00BC418A">
      <w:pPr>
        <w:jc w:val="both"/>
      </w:pPr>
      <w:r>
        <w:t>The purpose of the RIIFC is to act as the issuer of tax-exempt and taxable revenue bonds</w:t>
      </w:r>
      <w:r w:rsidR="00BC418A" w:rsidRPr="00BC418A">
        <w:t xml:space="preserve"> </w:t>
      </w:r>
      <w:r w:rsidR="00BC418A">
        <w:t>on behalf of Rhode Island companies seeking financing for manufacturing projects with a $20 million total cost cap per project.</w:t>
      </w:r>
      <w:r>
        <w:t xml:space="preserve"> </w:t>
      </w:r>
      <w:r w:rsidR="00BC418A">
        <w:t xml:space="preserve">  The bond</w:t>
      </w:r>
      <w:r w:rsidR="002373CD">
        <w:t>s</w:t>
      </w:r>
      <w:r>
        <w:t xml:space="preserve"> are sold to private or public investors</w:t>
      </w:r>
      <w:r w:rsidR="00BC418A">
        <w:t>.</w:t>
      </w:r>
      <w:r>
        <w:t xml:space="preserve">  </w:t>
      </w:r>
      <w:r w:rsidR="00BC418A">
        <w:t xml:space="preserve">It is permissible for the </w:t>
      </w:r>
      <w:r w:rsidR="007234F2">
        <w:t xml:space="preserve">bond </w:t>
      </w:r>
      <w:r w:rsidR="00BC418A">
        <w:t>to absorb</w:t>
      </w:r>
      <w:r w:rsidR="007234F2">
        <w:t xml:space="preserve"> up to 100% of the </w:t>
      </w:r>
      <w:r w:rsidR="00BC418A">
        <w:t xml:space="preserve">manufacturing project </w:t>
      </w:r>
      <w:r w:rsidR="007234F2">
        <w:t>cost</w:t>
      </w:r>
      <w:r w:rsidR="00BC418A">
        <w:t>;</w:t>
      </w:r>
      <w:r w:rsidR="007234F2">
        <w:t xml:space="preserve"> including land, new machinery and equipment, building costs and certain eligible “soft” costs</w:t>
      </w:r>
      <w:r w:rsidR="002373CD">
        <w:rPr>
          <w:rStyle w:val="FootnoteReference"/>
        </w:rPr>
        <w:footnoteReference w:id="2"/>
      </w:r>
      <w:r w:rsidR="007234F2">
        <w:t xml:space="preserve">. </w:t>
      </w:r>
      <w:r w:rsidR="00BC418A">
        <w:t>These bonds have i</w:t>
      </w:r>
      <w:r w:rsidR="007234F2">
        <w:t xml:space="preserve">nterest rates </w:t>
      </w:r>
      <w:r w:rsidR="00BC418A">
        <w:t xml:space="preserve">which are </w:t>
      </w:r>
      <w:r w:rsidR="007234F2">
        <w:t>tax exempt and determined by the market</w:t>
      </w:r>
      <w:r w:rsidR="00BC418A">
        <w:t xml:space="preserve"> at time of issuance</w:t>
      </w:r>
      <w:r w:rsidR="007234F2">
        <w:t xml:space="preserve">. </w:t>
      </w:r>
    </w:p>
    <w:p w14:paraId="5A024D15" w14:textId="6966C031" w:rsidR="007234F2" w:rsidRDefault="00BC418A" w:rsidP="00BC418A">
      <w:pPr>
        <w:jc w:val="both"/>
      </w:pPr>
      <w:r>
        <w:t>RIIFC</w:t>
      </w:r>
      <w:r w:rsidR="007234F2">
        <w:t xml:space="preserve"> </w:t>
      </w:r>
      <w:r>
        <w:t xml:space="preserve">also </w:t>
      </w:r>
      <w:r w:rsidR="007234F2">
        <w:t xml:space="preserve">offers taxable bonds for businesses that want to </w:t>
      </w:r>
      <w:r>
        <w:t>expand to</w:t>
      </w:r>
      <w:r w:rsidR="007234F2">
        <w:t xml:space="preserve"> commercial enterprise.  The </w:t>
      </w:r>
      <w:r>
        <w:t xml:space="preserve">taxable </w:t>
      </w:r>
      <w:r w:rsidR="007234F2">
        <w:t xml:space="preserve">bonds are similar to tax-exempt </w:t>
      </w:r>
      <w:r w:rsidR="00425DBD">
        <w:t>bonds;</w:t>
      </w:r>
      <w:r w:rsidR="007234F2">
        <w:t xml:space="preserve"> </w:t>
      </w:r>
      <w:r>
        <w:t xml:space="preserve">however, these bonds </w:t>
      </w:r>
      <w:r w:rsidR="007234F2">
        <w:t xml:space="preserve">are </w:t>
      </w:r>
      <w:r>
        <w:t xml:space="preserve">intended </w:t>
      </w:r>
      <w:r w:rsidR="007234F2">
        <w:t>for financing fixed commercial assets</w:t>
      </w:r>
      <w:r>
        <w:t>;</w:t>
      </w:r>
      <w:r w:rsidR="007234F2">
        <w:t xml:space="preserve"> such as land, building, machinery and equipment, and related “soft” costs. The limit per project is usually established by the bond purchaser or credit enhancer</w:t>
      </w:r>
      <w:r w:rsidR="007234F2">
        <w:rPr>
          <w:rStyle w:val="FootnoteReference"/>
        </w:rPr>
        <w:footnoteReference w:id="3"/>
      </w:r>
      <w:r w:rsidR="007234F2">
        <w:t xml:space="preserve">. </w:t>
      </w:r>
    </w:p>
    <w:p w14:paraId="0D9EC346" w14:textId="77777777" w:rsidR="00FA5670" w:rsidRPr="00C9183C" w:rsidRDefault="00FA5670" w:rsidP="00FA5670">
      <w:pPr>
        <w:jc w:val="both"/>
        <w:rPr>
          <w:rFonts w:cstheme="minorHAnsi"/>
        </w:rPr>
      </w:pPr>
    </w:p>
    <w:p w14:paraId="1EB61B64" w14:textId="77777777" w:rsidR="00FA5670" w:rsidRPr="0065195E" w:rsidRDefault="00FA5670" w:rsidP="00FA5670">
      <w:pPr>
        <w:pStyle w:val="Heading1"/>
        <w:jc w:val="center"/>
      </w:pPr>
      <w:bookmarkStart w:id="4" w:name="_Toc485821353"/>
      <w:bookmarkStart w:id="5" w:name="_Toc20398938"/>
      <w:r w:rsidRPr="0065195E">
        <w:t>Recommendations and Management’s Responses</w:t>
      </w:r>
      <w:bookmarkEnd w:id="4"/>
      <w:bookmarkEnd w:id="5"/>
    </w:p>
    <w:p w14:paraId="4B457F54" w14:textId="77777777" w:rsidR="00FA5670" w:rsidRPr="00C9183C" w:rsidRDefault="00FA5670" w:rsidP="00FA5670">
      <w:pPr>
        <w:pStyle w:val="Heading2"/>
      </w:pPr>
    </w:p>
    <w:p w14:paraId="0BD17439" w14:textId="77777777" w:rsidR="0018040D" w:rsidRPr="004F7B05" w:rsidRDefault="0018040D" w:rsidP="0018040D">
      <w:pPr>
        <w:pStyle w:val="Heading2"/>
        <w:rPr>
          <w:rStyle w:val="s6c8efa9d1"/>
          <w:b w:val="0"/>
          <w:bCs w:val="0"/>
        </w:rPr>
      </w:pPr>
      <w:bookmarkStart w:id="6" w:name="_Toc20398939"/>
      <w:r w:rsidRPr="004F7B05">
        <w:rPr>
          <w:rStyle w:val="s6c8efa9d1"/>
          <w:b w:val="0"/>
          <w:bCs w:val="0"/>
        </w:rPr>
        <w:t>Ensure Competitive Pricing is Obtained for each Private Placement Bond</w:t>
      </w:r>
      <w:bookmarkEnd w:id="6"/>
    </w:p>
    <w:p w14:paraId="4064D362" w14:textId="0A39A516" w:rsidR="00107DE9" w:rsidRPr="000B5727" w:rsidRDefault="00107DE9" w:rsidP="000B5727">
      <w:pPr>
        <w:spacing w:after="180" w:line="276" w:lineRule="auto"/>
        <w:jc w:val="both"/>
        <w:textAlignment w:val="baseline"/>
      </w:pPr>
      <w:r w:rsidRPr="000B5727">
        <w:t>An essential member of a governmental issu</w:t>
      </w:r>
      <w:r w:rsidR="000B5727">
        <w:t>er’s</w:t>
      </w:r>
      <w:r w:rsidRPr="000B5727">
        <w:t xml:space="preserve"> bond financing team is bond counsel. Bond counsel renders an opinion on the validity of the bond offering, the security for the offering, and whether and to what extent interest on the bonds is exempt from income and other taxation. The opinion of bond counsel provides assurance both to issuers and to investors who purchase the bonds that all legal and tax requirements relevant to the matters covered by the opinion are met. An issuer should assure itself that </w:t>
      </w:r>
      <w:r w:rsidRPr="000B5727">
        <w:lastRenderedPageBreak/>
        <w:t>its bond counsel has the necessary expertise to provide an opinion that can be relied on and will be able to assist the issuer in completing the transaction in a timely manner.</w:t>
      </w:r>
    </w:p>
    <w:p w14:paraId="739C50CB" w14:textId="44271339" w:rsidR="00107DE9" w:rsidRPr="000B5727" w:rsidRDefault="00107DE9" w:rsidP="000B5727">
      <w:pPr>
        <w:spacing w:after="180" w:line="276" w:lineRule="auto"/>
        <w:jc w:val="both"/>
        <w:textAlignment w:val="baseline"/>
      </w:pPr>
      <w:r w:rsidRPr="000B5727">
        <w:t>G</w:t>
      </w:r>
      <w:r w:rsidR="00AB3EA2" w:rsidRPr="000B5727">
        <w:t xml:space="preserve">overnment </w:t>
      </w:r>
      <w:r w:rsidRPr="000B5727">
        <w:t>F</w:t>
      </w:r>
      <w:r w:rsidR="00AB3EA2" w:rsidRPr="000B5727">
        <w:t xml:space="preserve">inance </w:t>
      </w:r>
      <w:r w:rsidRPr="000B5727">
        <w:t>O</w:t>
      </w:r>
      <w:r w:rsidR="00AB3EA2" w:rsidRPr="000B5727">
        <w:t xml:space="preserve">fficers </w:t>
      </w:r>
      <w:r w:rsidRPr="000B5727">
        <w:t>A</w:t>
      </w:r>
      <w:r w:rsidR="00AB3EA2" w:rsidRPr="000B5727">
        <w:t>ssociation</w:t>
      </w:r>
      <w:r w:rsidRPr="000B5727">
        <w:t xml:space="preserve"> recommends</w:t>
      </w:r>
      <w:r w:rsidR="00AB3EA2" w:rsidRPr="000B5727">
        <w:t xml:space="preserve"> as a best practice</w:t>
      </w:r>
      <w:r w:rsidR="00AB3EA2">
        <w:t>,</w:t>
      </w:r>
      <w:r w:rsidRPr="000B5727">
        <w:t xml:space="preserve"> that issuers select bond counsel on the basis of merit using a competitive process and </w:t>
      </w:r>
      <w:r w:rsidRPr="000B5727">
        <w:rPr>
          <w:u w:val="single"/>
        </w:rPr>
        <w:t>review those relationships periodically</w:t>
      </w:r>
      <w:r w:rsidRPr="000B5727">
        <w:t xml:space="preserve">. A competitive process using a request for proposals (RFP) or request for qualifications (RFQ) permits issuers to compare qualifications of firms and select a firm or firms that best meets the needs of their community and the type of financing being undertaken. The RFP or RFQ should clearly describe the scope of services desired, the length of the engagement, evaluation criteria, and the selection process. Issuers should have a clear understanding of their service needs (single transaction, multiple transaction, or establishment of a qualified pool of firms) and develop the RFP/RFQ to meet these needs. </w:t>
      </w:r>
    </w:p>
    <w:p w14:paraId="16D464D5" w14:textId="1372FB35" w:rsidR="00107DE9" w:rsidRPr="000B5727" w:rsidRDefault="00107DE9" w:rsidP="000B5727">
      <w:pPr>
        <w:spacing w:before="195" w:after="180" w:line="276" w:lineRule="auto"/>
        <w:jc w:val="both"/>
        <w:textAlignment w:val="baseline"/>
      </w:pPr>
      <w:r w:rsidRPr="000B5727">
        <w:t>Throughout the term of the engagement, the performance of bond counsel should be evaluated in relation to the stated scope of services and any areas where service needs to be improved should be communicated to the lead attorney. Ongoing contracts should be reviewed regularly and subjected to competitive selection periodically.</w:t>
      </w:r>
    </w:p>
    <w:p w14:paraId="0EA47BEC" w14:textId="239732FF" w:rsidR="0018040D" w:rsidRPr="004A5A55" w:rsidRDefault="0018040D" w:rsidP="000B5727">
      <w:pPr>
        <w:spacing w:after="180" w:line="276" w:lineRule="auto"/>
        <w:rPr>
          <w:rFonts w:cstheme="minorHAnsi"/>
        </w:rPr>
      </w:pPr>
      <w:r>
        <w:rPr>
          <w:rFonts w:cstheme="minorHAnsi"/>
        </w:rPr>
        <w:t>In a sample of five private placement bonds</w:t>
      </w:r>
      <w:r>
        <w:rPr>
          <w:rStyle w:val="FootnoteReference"/>
          <w:rFonts w:cstheme="minorHAnsi"/>
        </w:rPr>
        <w:footnoteReference w:id="4"/>
      </w:r>
      <w:r>
        <w:rPr>
          <w:rFonts w:cstheme="minorHAnsi"/>
        </w:rPr>
        <w:t xml:space="preserve"> issued, there was no documentation </w:t>
      </w:r>
      <w:r w:rsidR="00AB3EA2">
        <w:rPr>
          <w:rFonts w:cstheme="minorHAnsi"/>
        </w:rPr>
        <w:t xml:space="preserve">of </w:t>
      </w:r>
      <w:r w:rsidR="000B5727">
        <w:rPr>
          <w:rFonts w:cstheme="minorHAnsi"/>
        </w:rPr>
        <w:t>an</w:t>
      </w:r>
      <w:r>
        <w:rPr>
          <w:rFonts w:cstheme="minorHAnsi"/>
        </w:rPr>
        <w:t xml:space="preserve"> RFP process to show RIIFC obtained several offers for bond counsels and purchasers prior to issuing the bonds. Management of RIIFC utilizes a bond counsel that is local and has experience with conduit bond issuance requirements.</w:t>
      </w:r>
      <w:r w:rsidR="00AB3EA2">
        <w:rPr>
          <w:rFonts w:cstheme="minorHAnsi"/>
        </w:rPr>
        <w:t xml:space="preserve"> This legal firm also serves as general counsel for RI Commerce Corporation, Small Business Loan Corporation, RI Industrial Facilities Corporation and the RI Industrial Recreational Building Authority</w:t>
      </w:r>
      <w:r w:rsidR="005B2F93">
        <w:rPr>
          <w:rFonts w:cstheme="minorHAnsi"/>
        </w:rPr>
        <w:t xml:space="preserve"> for at least the last five years</w:t>
      </w:r>
      <w:r w:rsidR="00AB3EA2">
        <w:rPr>
          <w:rFonts w:cstheme="minorHAnsi"/>
        </w:rPr>
        <w:t xml:space="preserve">.  </w:t>
      </w:r>
      <w:r>
        <w:rPr>
          <w:rFonts w:cstheme="minorHAnsi"/>
        </w:rPr>
        <w:t xml:space="preserve"> However, there are other bond counsel opportunities and the best pricing available for each private placement bond may not be obtained without soliciting bid proposals. </w:t>
      </w:r>
    </w:p>
    <w:p w14:paraId="5732CB4C" w14:textId="77777777" w:rsidR="0018040D" w:rsidRDefault="0018040D" w:rsidP="0018040D">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52AE1626" w14:textId="77777777" w:rsidR="0018040D" w:rsidRDefault="0018040D" w:rsidP="0018040D">
      <w:pPr>
        <w:pStyle w:val="ListParagraph"/>
        <w:numPr>
          <w:ilvl w:val="0"/>
          <w:numId w:val="1"/>
        </w:numPr>
        <w:spacing w:after="180" w:line="276" w:lineRule="auto"/>
      </w:pPr>
      <w:r>
        <w:rPr>
          <w:rFonts w:asciiTheme="minorHAnsi" w:hAnsiTheme="minorHAnsi"/>
          <w:sz w:val="22"/>
          <w:szCs w:val="22"/>
        </w:rPr>
        <w:t xml:space="preserve">Ensure competitive pricing is obtained for each private placement bond or on a regularly scheduled basis. </w:t>
      </w:r>
    </w:p>
    <w:p w14:paraId="7B948D16" w14:textId="77777777" w:rsidR="0018040D" w:rsidRPr="0011428C" w:rsidRDefault="0018040D" w:rsidP="0018040D">
      <w:pPr>
        <w:pStyle w:val="ListParagraph"/>
        <w:spacing w:after="180" w:line="276" w:lineRule="auto"/>
      </w:pPr>
    </w:p>
    <w:p w14:paraId="0CF58AAB" w14:textId="7F4F3589" w:rsidR="0018040D" w:rsidRPr="00C9183C" w:rsidRDefault="0018040D" w:rsidP="0018040D">
      <w:pPr>
        <w:spacing w:after="180" w:line="276" w:lineRule="auto"/>
        <w:jc w:val="both"/>
        <w:rPr>
          <w:rFonts w:cstheme="minorHAnsi"/>
          <w:color w:val="000000"/>
          <w:u w:color="000000"/>
        </w:rPr>
      </w:pPr>
      <w:r w:rsidRPr="00C9183C">
        <w:rPr>
          <w:rFonts w:eastAsiaTheme="majorEastAsia" w:cstheme="minorHAnsi"/>
          <w:i/>
          <w:iCs/>
          <w:color w:val="2F5496" w:themeColor="accent1" w:themeShade="BF"/>
        </w:rPr>
        <w:t>Management’s Response</w:t>
      </w:r>
      <w:r>
        <w:rPr>
          <w:rFonts w:eastAsiaTheme="majorEastAsia" w:cstheme="minorHAnsi"/>
          <w:i/>
          <w:iCs/>
          <w:color w:val="2F5496" w:themeColor="accent1" w:themeShade="BF"/>
        </w:rPr>
        <w:t>:</w:t>
      </w:r>
      <w:r w:rsidRPr="00C9183C">
        <w:rPr>
          <w:rFonts w:cstheme="minorHAnsi"/>
          <w:color w:val="000000"/>
          <w:u w:color="000000"/>
        </w:rPr>
        <w:t xml:space="preserve"> </w:t>
      </w:r>
      <w:r w:rsidR="00436820">
        <w:rPr>
          <w:rFonts w:cstheme="minorHAnsi"/>
          <w:color w:val="000000"/>
          <w:u w:color="000000"/>
        </w:rPr>
        <w:t xml:space="preserve">Legal counsel for the RICC has informed RIIFC Staff that RFPs for legal counsel are not required. It should be noted that </w:t>
      </w:r>
      <w:r w:rsidR="006E2B31">
        <w:rPr>
          <w:rFonts w:cstheme="minorHAnsi"/>
          <w:color w:val="000000"/>
          <w:u w:color="000000"/>
        </w:rPr>
        <w:t>Bond Counsel for RIIFC has historically been performed by RIIFC General Counsel</w:t>
      </w:r>
      <w:r w:rsidR="00436820">
        <w:rPr>
          <w:rFonts w:cstheme="minorHAnsi"/>
          <w:color w:val="000000"/>
          <w:u w:color="000000"/>
        </w:rPr>
        <w:t xml:space="preserve"> as a cost savings measure eliminating the need for two separate legal firms to document and review bond documents</w:t>
      </w:r>
      <w:r w:rsidR="006E2B31">
        <w:rPr>
          <w:rFonts w:cstheme="minorHAnsi"/>
          <w:color w:val="000000"/>
          <w:u w:color="000000"/>
        </w:rPr>
        <w:t xml:space="preserve">. </w:t>
      </w:r>
      <w:r w:rsidR="00843161">
        <w:rPr>
          <w:rFonts w:cstheme="minorHAnsi"/>
          <w:color w:val="000000"/>
          <w:u w:color="000000"/>
        </w:rPr>
        <w:t xml:space="preserve">General Counsel for RIIFC also states that </w:t>
      </w:r>
      <w:r w:rsidR="00B47BFA">
        <w:rPr>
          <w:rFonts w:cstheme="minorHAnsi"/>
          <w:color w:val="000000"/>
          <w:u w:color="000000"/>
        </w:rPr>
        <w:t xml:space="preserve">staff is not required to issue RFPs for bond counsel. </w:t>
      </w:r>
      <w:r w:rsidR="006E2B31">
        <w:rPr>
          <w:rFonts w:cstheme="minorHAnsi"/>
          <w:color w:val="000000"/>
          <w:u w:color="000000"/>
        </w:rPr>
        <w:t xml:space="preserve">As such, no RFP for bond counsel has been necessary. Additionally, the legislation governing RIIFC does not require an RFP be issued.  A prospective bond recipient may already have a bank financing their operation. As the bond issue is a private activity bond, the borrow does have the right to select the bond buyer. This has been the case for the most </w:t>
      </w:r>
      <w:r w:rsidR="00436820">
        <w:rPr>
          <w:rFonts w:cstheme="minorHAnsi"/>
          <w:color w:val="000000"/>
          <w:u w:color="000000"/>
        </w:rPr>
        <w:t xml:space="preserve">of the RIIFC </w:t>
      </w:r>
      <w:r w:rsidR="006E2B31">
        <w:rPr>
          <w:rFonts w:cstheme="minorHAnsi"/>
          <w:color w:val="000000"/>
          <w:u w:color="000000"/>
        </w:rPr>
        <w:t xml:space="preserve">bond issues. As is the case for public bond issues, the Financial Services staff does issue RFP’s for underwriters. Should a RIIFC bond be issued in the public market, an RFP would be issued for underwriters. </w:t>
      </w:r>
    </w:p>
    <w:p w14:paraId="42D57765" w14:textId="6A081E61" w:rsidR="0018040D" w:rsidRPr="00C9183C" w:rsidRDefault="0018040D" w:rsidP="0018040D">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lastRenderedPageBreak/>
        <w:t xml:space="preserve">Responsible Party: </w:t>
      </w:r>
      <w:r w:rsidR="00B47BFA" w:rsidRPr="0033092E">
        <w:rPr>
          <w:rFonts w:eastAsiaTheme="majorEastAsia" w:cstheme="minorHAnsi"/>
          <w:i/>
          <w:iCs/>
        </w:rPr>
        <w:t>General Counsel for RICC and RIIFC state that this is n</w:t>
      </w:r>
      <w:r w:rsidR="0028044E" w:rsidRPr="0033092E">
        <w:rPr>
          <w:rFonts w:eastAsiaTheme="majorEastAsia" w:cstheme="minorHAnsi"/>
          <w:i/>
          <w:iCs/>
        </w:rPr>
        <w:t>ot applicable.</w:t>
      </w:r>
    </w:p>
    <w:p w14:paraId="12523D27" w14:textId="21249F94" w:rsidR="0018040D" w:rsidRPr="00C9183C" w:rsidRDefault="0018040D" w:rsidP="0018040D">
      <w:pPr>
        <w:pStyle w:val="Heading4"/>
        <w:jc w:val="both"/>
        <w:rPr>
          <w:rFonts w:asciiTheme="minorHAnsi" w:hAnsiTheme="minorHAnsi" w:cstheme="minorHAnsi"/>
        </w:rPr>
      </w:pPr>
      <w:r w:rsidRPr="00C9183C">
        <w:rPr>
          <w:rFonts w:asciiTheme="minorHAnsi" w:hAnsiTheme="minorHAnsi" w:cstheme="minorHAnsi"/>
        </w:rPr>
        <w:t xml:space="preserve">Anticipated Completion Date: </w:t>
      </w:r>
      <w:r w:rsidR="0028044E">
        <w:rPr>
          <w:rFonts w:asciiTheme="minorHAnsi" w:hAnsiTheme="minorHAnsi" w:cstheme="minorHAnsi"/>
          <w:color w:val="auto"/>
        </w:rPr>
        <w:t>Not applicable.</w:t>
      </w:r>
    </w:p>
    <w:p w14:paraId="7800C460" w14:textId="77777777" w:rsidR="0018040D" w:rsidRDefault="0018040D" w:rsidP="0018040D"/>
    <w:p w14:paraId="4432959A" w14:textId="77777777" w:rsidR="00FA5670" w:rsidRDefault="00FA5670" w:rsidP="00FA5670">
      <w:pPr>
        <w:pStyle w:val="Heading2"/>
      </w:pPr>
      <w:bookmarkStart w:id="7" w:name="_Toc20398940"/>
      <w:r>
        <w:t>Comply with Requirements of the Quasi-Public Corporations Accountability and Transparency Act</w:t>
      </w:r>
      <w:bookmarkEnd w:id="7"/>
      <w:r>
        <w:t xml:space="preserve"> </w:t>
      </w:r>
    </w:p>
    <w:p w14:paraId="5B4FEFD2" w14:textId="26DFD24C" w:rsidR="00425DBD" w:rsidRDefault="00425DBD" w:rsidP="00425DBD">
      <w:pPr>
        <w:spacing w:after="180" w:line="276" w:lineRule="auto"/>
        <w:jc w:val="both"/>
      </w:pPr>
      <w:r>
        <w:t xml:space="preserve">RIGL </w:t>
      </w:r>
      <w:r w:rsidRPr="00B35562">
        <w:rPr>
          <w:bCs/>
        </w:rPr>
        <w:t>§</w:t>
      </w:r>
      <w:r>
        <w:t xml:space="preserve">42-155 Quasi-Public Corporations Accountability and Transparency Act establishes requirements that quasi-public corporations must follow to increase transparency of operations.  The </w:t>
      </w:r>
      <w:r w:rsidR="00D7752C">
        <w:t>RIIFC</w:t>
      </w:r>
      <w:r>
        <w:t xml:space="preserve"> is included as an entity subject to the Quasi-Public Corporations Accountability and Transparency Act. Therefore, amongst others, it must adhere to the following requirements:</w:t>
      </w:r>
    </w:p>
    <w:p w14:paraId="24B02C19" w14:textId="77777777" w:rsidR="00425DBD" w:rsidRPr="00F65606" w:rsidRDefault="00425DBD" w:rsidP="00425DBD">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Adopting a list of performance measures </w:t>
      </w:r>
    </w:p>
    <w:p w14:paraId="159888A3" w14:textId="77777777" w:rsidR="00425DBD" w:rsidRPr="00F65606" w:rsidRDefault="00425DBD" w:rsidP="00425DBD">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Publishing a self-evaluation based on performance measurements at least once every three years </w:t>
      </w:r>
    </w:p>
    <w:p w14:paraId="17BE889E" w14:textId="77777777" w:rsidR="00425DBD" w:rsidRPr="00F65606" w:rsidRDefault="00425DBD" w:rsidP="00425DBD">
      <w:pPr>
        <w:pStyle w:val="Normal1"/>
        <w:numPr>
          <w:ilvl w:val="0"/>
          <w:numId w:val="2"/>
        </w:numPr>
        <w:spacing w:after="180" w:line="276" w:lineRule="auto"/>
        <w:jc w:val="both"/>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 xml:space="preserve">Providing certain information directly, or via direct link, on its website. </w:t>
      </w:r>
    </w:p>
    <w:p w14:paraId="038BE01B" w14:textId="1EA37A8F" w:rsidR="00425DBD" w:rsidRDefault="00425DBD" w:rsidP="00425DBD">
      <w:pPr>
        <w:spacing w:after="180" w:line="276" w:lineRule="auto"/>
        <w:jc w:val="both"/>
      </w:pPr>
      <w:r>
        <w:t xml:space="preserve">The </w:t>
      </w:r>
      <w:r w:rsidR="00D7752C">
        <w:t xml:space="preserve">RIIFC </w:t>
      </w:r>
      <w:r>
        <w:t xml:space="preserve">did not provide documentation of identified performance measures for its mission as required by the Act. Further, there was no documentation provided to support a self-evaluation based on established measurements. </w:t>
      </w:r>
    </w:p>
    <w:p w14:paraId="282122F5" w14:textId="6613F8A5" w:rsidR="00425DBD" w:rsidRDefault="00425DBD" w:rsidP="00425DBD">
      <w:pPr>
        <w:spacing w:after="180" w:line="276" w:lineRule="auto"/>
        <w:jc w:val="both"/>
      </w:pPr>
      <w:r>
        <w:t xml:space="preserve">Finally, the </w:t>
      </w:r>
      <w:r w:rsidR="00D7752C">
        <w:t>RIIFC</w:t>
      </w:r>
      <w:r>
        <w:t xml:space="preserve"> did not publish to its website all required information per the RIGL</w:t>
      </w:r>
      <w:r w:rsidRPr="00B35562">
        <w:rPr>
          <w:rFonts w:cstheme="minorHAnsi"/>
          <w:color w:val="000000"/>
          <w:u w:color="000000"/>
        </w:rPr>
        <w:t xml:space="preserve"> </w:t>
      </w:r>
      <w:r w:rsidRPr="00B35562">
        <w:rPr>
          <w:bCs/>
        </w:rPr>
        <w:t>§</w:t>
      </w:r>
      <w:r>
        <w:rPr>
          <w:bCs/>
        </w:rPr>
        <w:t>42-155-6</w:t>
      </w:r>
      <w:r>
        <w:t>. The following is not posted:</w:t>
      </w:r>
    </w:p>
    <w:p w14:paraId="1A46DEDB" w14:textId="77777777" w:rsidR="00425DBD" w:rsidRPr="00F65606" w:rsidRDefault="00425DBD" w:rsidP="00425DBD">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Quarterly financial statements</w:t>
      </w:r>
    </w:p>
    <w:p w14:paraId="2BE046D6" w14:textId="77777777" w:rsidR="00425DBD" w:rsidRPr="00F65606" w:rsidRDefault="00425DBD" w:rsidP="00425DBD">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Capital improvement plans</w:t>
      </w:r>
    </w:p>
    <w:p w14:paraId="560A39F6" w14:textId="77777777" w:rsidR="00425DBD" w:rsidRPr="00F65606" w:rsidRDefault="00425DBD" w:rsidP="00425DBD">
      <w:pPr>
        <w:pStyle w:val="Normal1"/>
        <w:numPr>
          <w:ilvl w:val="0"/>
          <w:numId w:val="2"/>
        </w:numPr>
        <w:spacing w:after="180" w:line="276" w:lineRule="auto"/>
        <w:rPr>
          <w:rStyle w:val="s6c8efa9d1"/>
          <w:rFonts w:asciiTheme="minorHAnsi" w:eastAsia="Calibri" w:hAnsiTheme="minorHAnsi" w:cstheme="minorHAnsi"/>
          <w:b w:val="0"/>
          <w:sz w:val="22"/>
          <w:szCs w:val="22"/>
        </w:rPr>
      </w:pPr>
      <w:r w:rsidRPr="00F65606">
        <w:rPr>
          <w:rStyle w:val="s6c8efa9d1"/>
          <w:rFonts w:asciiTheme="minorHAnsi" w:eastAsia="Calibri" w:hAnsiTheme="minorHAnsi" w:cstheme="minorHAnsi"/>
          <w:b w:val="0"/>
          <w:sz w:val="22"/>
          <w:szCs w:val="22"/>
        </w:rPr>
        <w:t>Strategic plan</w:t>
      </w:r>
    </w:p>
    <w:p w14:paraId="615E7160" w14:textId="5D279E53" w:rsidR="00425DBD" w:rsidRPr="00F65606" w:rsidRDefault="00425DBD" w:rsidP="00425DBD">
      <w:pPr>
        <w:pStyle w:val="Normal1"/>
        <w:spacing w:after="180" w:line="276" w:lineRule="auto"/>
        <w:rPr>
          <w:rFonts w:asciiTheme="minorHAnsi" w:eastAsia="Calibri" w:hAnsiTheme="minorHAnsi" w:cstheme="minorHAnsi"/>
          <w:b/>
          <w:sz w:val="22"/>
          <w:szCs w:val="22"/>
        </w:rPr>
      </w:pPr>
      <w:r w:rsidRPr="00F65606">
        <w:rPr>
          <w:rStyle w:val="s6c8efa9d1"/>
          <w:rFonts w:asciiTheme="minorHAnsi" w:eastAsia="Calibri" w:hAnsiTheme="minorHAnsi" w:cstheme="minorHAnsi"/>
          <w:b w:val="0"/>
          <w:sz w:val="22"/>
          <w:szCs w:val="22"/>
        </w:rPr>
        <w:t xml:space="preserve">The </w:t>
      </w:r>
      <w:r w:rsidR="00D7752C">
        <w:rPr>
          <w:rStyle w:val="s6c8efa9d1"/>
          <w:rFonts w:asciiTheme="minorHAnsi" w:eastAsia="Calibri" w:hAnsiTheme="minorHAnsi" w:cstheme="minorHAnsi"/>
          <w:b w:val="0"/>
          <w:sz w:val="22"/>
          <w:szCs w:val="22"/>
        </w:rPr>
        <w:t>RIIFC</w:t>
      </w:r>
      <w:r w:rsidRPr="00F65606">
        <w:rPr>
          <w:rStyle w:val="s6c8efa9d1"/>
          <w:rFonts w:asciiTheme="minorHAnsi" w:eastAsia="Calibri" w:hAnsiTheme="minorHAnsi" w:cstheme="minorHAnsi"/>
          <w:b w:val="0"/>
          <w:sz w:val="22"/>
          <w:szCs w:val="22"/>
        </w:rPr>
        <w:t xml:space="preserve"> </w:t>
      </w:r>
      <w:r>
        <w:rPr>
          <w:rStyle w:val="s6c8efa9d1"/>
          <w:rFonts w:asciiTheme="minorHAnsi" w:eastAsia="Calibri" w:hAnsiTheme="minorHAnsi" w:cstheme="minorHAnsi"/>
          <w:b w:val="0"/>
          <w:sz w:val="22"/>
          <w:szCs w:val="22"/>
        </w:rPr>
        <w:t xml:space="preserve">did not maintain </w:t>
      </w:r>
      <w:r w:rsidRPr="00F65606">
        <w:rPr>
          <w:rStyle w:val="s6c8efa9d1"/>
          <w:rFonts w:asciiTheme="minorHAnsi" w:eastAsia="Calibri" w:hAnsiTheme="minorHAnsi" w:cstheme="minorHAnsi"/>
          <w:b w:val="0"/>
          <w:sz w:val="22"/>
          <w:szCs w:val="22"/>
        </w:rPr>
        <w:t>required documentation stipulated in the RIGL and does not have all required transparency information available to the public.  As a result, the</w:t>
      </w:r>
      <w:r>
        <w:rPr>
          <w:rStyle w:val="s6c8efa9d1"/>
          <w:rFonts w:asciiTheme="minorHAnsi" w:eastAsia="Calibri" w:hAnsiTheme="minorHAnsi" w:cstheme="minorHAnsi"/>
          <w:b w:val="0"/>
          <w:sz w:val="22"/>
          <w:szCs w:val="22"/>
        </w:rPr>
        <w:t xml:space="preserve"> </w:t>
      </w:r>
      <w:r w:rsidR="00D7752C">
        <w:rPr>
          <w:rStyle w:val="s6c8efa9d1"/>
          <w:rFonts w:asciiTheme="minorHAnsi" w:eastAsia="Calibri" w:hAnsiTheme="minorHAnsi" w:cstheme="minorHAnsi"/>
          <w:b w:val="0"/>
          <w:sz w:val="22"/>
          <w:szCs w:val="22"/>
        </w:rPr>
        <w:t>RIIFC</w:t>
      </w:r>
      <w:r w:rsidRPr="00F65606">
        <w:rPr>
          <w:rStyle w:val="s6c8efa9d1"/>
          <w:rFonts w:asciiTheme="minorHAnsi" w:eastAsia="Calibri" w:hAnsiTheme="minorHAnsi" w:cstheme="minorHAnsi"/>
          <w:b w:val="0"/>
          <w:sz w:val="22"/>
          <w:szCs w:val="22"/>
        </w:rPr>
        <w:t xml:space="preserve"> is not fully adhering to the Quasi-Public </w:t>
      </w:r>
      <w:r w:rsidRPr="00F65606">
        <w:rPr>
          <w:rFonts w:asciiTheme="minorHAnsi" w:eastAsia="Calibri" w:hAnsiTheme="minorHAnsi" w:cstheme="minorHAnsi"/>
          <w:sz w:val="22"/>
          <w:szCs w:val="22"/>
        </w:rPr>
        <w:t>Transparency Act requirements.</w:t>
      </w:r>
    </w:p>
    <w:p w14:paraId="1259D86E" w14:textId="77777777" w:rsidR="00FA5670" w:rsidRPr="005D1970" w:rsidRDefault="00FA5670" w:rsidP="00FA5670">
      <w:pPr>
        <w:pStyle w:val="Normal1"/>
        <w:rPr>
          <w:rStyle w:val="s6c8efa9d1"/>
          <w:rFonts w:asciiTheme="minorHAnsi" w:eastAsia="Calibri" w:hAnsiTheme="minorHAnsi" w:cstheme="minorHAnsi"/>
          <w:b w:val="0"/>
          <w:bCs w:val="0"/>
          <w:sz w:val="22"/>
          <w:szCs w:val="22"/>
        </w:rPr>
      </w:pPr>
    </w:p>
    <w:p w14:paraId="1BD0AF88" w14:textId="77777777" w:rsidR="00FA5670" w:rsidRPr="00C9183C" w:rsidRDefault="00FA5670" w:rsidP="00FA5670">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2FEAB765" w14:textId="77777777" w:rsidR="00FA5670" w:rsidRDefault="00FA5670" w:rsidP="00206BA8">
      <w:pPr>
        <w:pStyle w:val="ListParagraph"/>
        <w:numPr>
          <w:ilvl w:val="0"/>
          <w:numId w:val="1"/>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Identify performance measures and establish monitoring procedures.</w:t>
      </w:r>
    </w:p>
    <w:p w14:paraId="7CE9FC9D" w14:textId="77777777" w:rsidR="00425DBD" w:rsidRPr="00C9183C" w:rsidRDefault="00425DBD" w:rsidP="00425DBD">
      <w:pPr>
        <w:pStyle w:val="ListParagraph"/>
        <w:numPr>
          <w:ilvl w:val="0"/>
          <w:numId w:val="1"/>
        </w:numPr>
        <w:spacing w:after="180" w:line="276" w:lineRule="auto"/>
        <w:jc w:val="both"/>
        <w:rPr>
          <w:rFonts w:asciiTheme="minorHAnsi" w:hAnsiTheme="minorHAnsi" w:cstheme="minorHAnsi"/>
          <w:color w:val="000000"/>
          <w:sz w:val="22"/>
          <w:szCs w:val="22"/>
          <w:u w:color="000000"/>
        </w:rPr>
      </w:pPr>
      <w:r>
        <w:rPr>
          <w:rFonts w:asciiTheme="minorHAnsi" w:hAnsiTheme="minorHAnsi" w:cstheme="minorHAnsi"/>
          <w:color w:val="000000"/>
          <w:sz w:val="22"/>
          <w:szCs w:val="22"/>
          <w:u w:color="000000"/>
        </w:rPr>
        <w:t>Publicly post all required information to comply with RIGL</w:t>
      </w:r>
      <w:r w:rsidRPr="00B35562">
        <w:rPr>
          <w:rFonts w:asciiTheme="minorHAnsi" w:hAnsiTheme="minorHAnsi" w:cstheme="minorHAnsi"/>
          <w:color w:val="000000"/>
          <w:sz w:val="22"/>
          <w:szCs w:val="22"/>
          <w:u w:color="000000"/>
        </w:rPr>
        <w:t xml:space="preserve"> </w:t>
      </w:r>
      <w:r w:rsidRPr="00B35562">
        <w:rPr>
          <w:bCs/>
        </w:rPr>
        <w:t>§</w:t>
      </w:r>
      <w:r>
        <w:rPr>
          <w:rFonts w:asciiTheme="minorHAnsi" w:hAnsiTheme="minorHAnsi" w:cstheme="minorHAnsi"/>
          <w:color w:val="000000"/>
          <w:sz w:val="22"/>
          <w:szCs w:val="22"/>
          <w:u w:color="000000"/>
        </w:rPr>
        <w:t xml:space="preserve">42-155-6. </w:t>
      </w:r>
    </w:p>
    <w:p w14:paraId="261F4601" w14:textId="05624471" w:rsidR="006E2B31" w:rsidRPr="00F55A1C" w:rsidRDefault="00FA5670" w:rsidP="006E2B31">
      <w:pPr>
        <w:spacing w:after="180" w:line="276" w:lineRule="auto"/>
        <w:jc w:val="both"/>
        <w:rPr>
          <w:rFonts w:cstheme="minorHAnsi"/>
          <w:color w:val="000000"/>
        </w:rPr>
      </w:pPr>
      <w:r w:rsidRPr="00C9183C">
        <w:rPr>
          <w:rFonts w:eastAsiaTheme="majorEastAsia" w:cstheme="minorHAnsi"/>
          <w:i/>
          <w:iCs/>
          <w:color w:val="2F5496" w:themeColor="accent1" w:themeShade="BF"/>
        </w:rPr>
        <w:t>Management’s Response</w:t>
      </w:r>
      <w:r w:rsidR="00BC418A">
        <w:rPr>
          <w:rFonts w:eastAsiaTheme="majorEastAsia" w:cstheme="minorHAnsi"/>
          <w:i/>
          <w:iCs/>
          <w:color w:val="2F5496" w:themeColor="accent1" w:themeShade="BF"/>
        </w:rPr>
        <w:t>:</w:t>
      </w:r>
      <w:r w:rsidRPr="00C9183C">
        <w:rPr>
          <w:rFonts w:cstheme="minorHAnsi"/>
          <w:color w:val="000000"/>
          <w:u w:color="000000"/>
        </w:rPr>
        <w:t xml:space="preserve"> </w:t>
      </w:r>
      <w:r w:rsidR="006E2B31" w:rsidRPr="00F55A1C">
        <w:rPr>
          <w:rFonts w:cstheme="minorHAnsi"/>
          <w:color w:val="000000"/>
        </w:rPr>
        <w:t xml:space="preserve">At a meeting of the RIIFC Board of Directors held on March 19, 2015 the board reviewed the Quasi-Public Transparency Act and adopted policies relating to the Act, including performance measures. Results of the performance of the program are </w:t>
      </w:r>
      <w:r w:rsidR="00F55A1C" w:rsidRPr="00F55A1C">
        <w:rPr>
          <w:rFonts w:cstheme="minorHAnsi"/>
          <w:color w:val="000000"/>
        </w:rPr>
        <w:t xml:space="preserve">contained within the “Listing of Revenue Bonds and Notes and Agreed-Upon Procedures Report” on an annual basis which is posted on the website of the RI Commerce Corporation as RIIFC does not maintain a website on which to publish information requested in the Act. It would be cost prohibitive for the Corporation to maintain a website. </w:t>
      </w:r>
    </w:p>
    <w:p w14:paraId="18CD4C7D" w14:textId="6351B346" w:rsidR="006E2B31" w:rsidRPr="00F55A1C" w:rsidRDefault="006E2B31" w:rsidP="006E2B31">
      <w:pPr>
        <w:spacing w:after="180" w:line="276" w:lineRule="auto"/>
        <w:jc w:val="both"/>
        <w:rPr>
          <w:rFonts w:cstheme="minorHAnsi"/>
          <w:color w:val="000000"/>
        </w:rPr>
      </w:pPr>
      <w:r w:rsidRPr="00F55A1C">
        <w:rPr>
          <w:rFonts w:cstheme="minorHAnsi"/>
          <w:color w:val="000000"/>
        </w:rPr>
        <w:lastRenderedPageBreak/>
        <w:tab/>
      </w:r>
      <w:r w:rsidR="00F55A1C" w:rsidRPr="00F55A1C">
        <w:rPr>
          <w:rFonts w:cstheme="minorHAnsi"/>
          <w:color w:val="000000"/>
        </w:rPr>
        <w:t>RIIFC</w:t>
      </w:r>
      <w:r w:rsidRPr="00F55A1C">
        <w:rPr>
          <w:rFonts w:cstheme="minorHAnsi"/>
          <w:color w:val="000000"/>
        </w:rPr>
        <w:t xml:space="preserve"> does not</w:t>
      </w:r>
      <w:r w:rsidR="007B18CD">
        <w:rPr>
          <w:rFonts w:cstheme="minorHAnsi"/>
          <w:color w:val="000000"/>
        </w:rPr>
        <w:t>,</w:t>
      </w:r>
      <w:r w:rsidRPr="00F55A1C">
        <w:rPr>
          <w:rFonts w:cstheme="minorHAnsi"/>
          <w:color w:val="000000"/>
        </w:rPr>
        <w:t xml:space="preserve"> </w:t>
      </w:r>
      <w:r w:rsidR="007B18CD">
        <w:rPr>
          <w:rFonts w:cstheme="minorHAnsi"/>
          <w:color w:val="000000"/>
        </w:rPr>
        <w:t xml:space="preserve">and will not, </w:t>
      </w:r>
      <w:r w:rsidRPr="00F55A1C">
        <w:rPr>
          <w:rFonts w:cstheme="minorHAnsi"/>
          <w:color w:val="000000"/>
        </w:rPr>
        <w:t>have any activity to report regarding capital improvement plans or quarterly contracting</w:t>
      </w:r>
      <w:r w:rsidR="00F55A1C" w:rsidRPr="00F55A1C">
        <w:rPr>
          <w:rFonts w:cstheme="minorHAnsi"/>
          <w:color w:val="000000"/>
        </w:rPr>
        <w:t>. RIIFC</w:t>
      </w:r>
      <w:r w:rsidRPr="00F55A1C">
        <w:rPr>
          <w:rFonts w:cstheme="minorHAnsi"/>
          <w:color w:val="000000"/>
        </w:rPr>
        <w:t xml:space="preserve"> </w:t>
      </w:r>
      <w:r w:rsidR="00F55A1C" w:rsidRPr="00F55A1C">
        <w:rPr>
          <w:rFonts w:cstheme="minorHAnsi"/>
          <w:color w:val="000000"/>
        </w:rPr>
        <w:t xml:space="preserve">also </w:t>
      </w:r>
      <w:r w:rsidRPr="00F55A1C">
        <w:rPr>
          <w:rFonts w:cstheme="minorHAnsi"/>
          <w:color w:val="000000"/>
        </w:rPr>
        <w:t xml:space="preserve">does not prepare quarterly independent financial statements as the Accounting Department for the Rhode Island Commerce Corporation does not have the staffing capacity to compile </w:t>
      </w:r>
      <w:r w:rsidR="009D226E" w:rsidRPr="00F55A1C">
        <w:rPr>
          <w:rFonts w:cstheme="minorHAnsi"/>
          <w:color w:val="000000"/>
        </w:rPr>
        <w:t xml:space="preserve">and </w:t>
      </w:r>
      <w:r w:rsidR="009D226E">
        <w:rPr>
          <w:rFonts w:cstheme="minorHAnsi"/>
          <w:color w:val="000000"/>
        </w:rPr>
        <w:t>generate</w:t>
      </w:r>
      <w:r w:rsidR="007B18CD">
        <w:rPr>
          <w:rFonts w:cstheme="minorHAnsi"/>
          <w:color w:val="000000"/>
        </w:rPr>
        <w:t xml:space="preserve"> financial statements</w:t>
      </w:r>
      <w:r w:rsidR="00F55A1C" w:rsidRPr="00F55A1C">
        <w:rPr>
          <w:rFonts w:cstheme="minorHAnsi"/>
          <w:color w:val="000000"/>
        </w:rPr>
        <w:t>.</w:t>
      </w:r>
    </w:p>
    <w:p w14:paraId="16FC0CC3" w14:textId="724765BB" w:rsidR="006E2B31" w:rsidRDefault="006E2B31" w:rsidP="006E2B31">
      <w:pPr>
        <w:spacing w:after="180" w:line="276" w:lineRule="auto"/>
        <w:jc w:val="both"/>
        <w:rPr>
          <w:rFonts w:cstheme="minorHAnsi"/>
          <w:color w:val="000000"/>
        </w:rPr>
      </w:pPr>
      <w:r w:rsidRPr="00F55A1C">
        <w:rPr>
          <w:rFonts w:cstheme="minorHAnsi"/>
          <w:color w:val="000000"/>
        </w:rPr>
        <w:tab/>
        <w:t xml:space="preserve">Going forward, </w:t>
      </w:r>
      <w:r w:rsidR="00F55A1C" w:rsidRPr="00F55A1C">
        <w:rPr>
          <w:rFonts w:cstheme="minorHAnsi"/>
          <w:color w:val="000000"/>
        </w:rPr>
        <w:t>RIIF</w:t>
      </w:r>
      <w:r w:rsidRPr="00F55A1C">
        <w:rPr>
          <w:rFonts w:cstheme="minorHAnsi"/>
          <w:color w:val="000000"/>
        </w:rPr>
        <w:t xml:space="preserve">C can work with the Rhode Island Commerce Corporation to create a link on its website to post information required by the Act relating to </w:t>
      </w:r>
      <w:r w:rsidR="00F55A1C" w:rsidRPr="00F55A1C">
        <w:rPr>
          <w:rFonts w:cstheme="minorHAnsi"/>
          <w:color w:val="000000"/>
        </w:rPr>
        <w:t>RIIFC</w:t>
      </w:r>
      <w:r w:rsidRPr="00F55A1C">
        <w:rPr>
          <w:rFonts w:cstheme="minorHAnsi"/>
          <w:color w:val="000000"/>
        </w:rPr>
        <w:t xml:space="preserve"> </w:t>
      </w:r>
      <w:r w:rsidR="00F55A1C" w:rsidRPr="00F55A1C">
        <w:rPr>
          <w:rFonts w:cstheme="minorHAnsi"/>
          <w:color w:val="000000"/>
        </w:rPr>
        <w:t>or indicate</w:t>
      </w:r>
      <w:r w:rsidRPr="00F55A1C">
        <w:rPr>
          <w:rFonts w:cstheme="minorHAnsi"/>
          <w:color w:val="000000"/>
        </w:rPr>
        <w:t xml:space="preserve"> that it does </w:t>
      </w:r>
      <w:r w:rsidR="00F55A1C" w:rsidRPr="00F55A1C">
        <w:rPr>
          <w:rFonts w:cstheme="minorHAnsi"/>
          <w:color w:val="000000"/>
        </w:rPr>
        <w:t>not have</w:t>
      </w:r>
      <w:r w:rsidRPr="00F55A1C">
        <w:rPr>
          <w:rFonts w:cstheme="minorHAnsi"/>
          <w:color w:val="000000"/>
        </w:rPr>
        <w:t xml:space="preserve"> any activity to report. </w:t>
      </w:r>
      <w:r w:rsidR="00290CBD">
        <w:rPr>
          <w:rFonts w:cstheme="minorHAnsi"/>
          <w:color w:val="000000"/>
        </w:rPr>
        <w:t>RIIFC’s a</w:t>
      </w:r>
      <w:r w:rsidR="00F55A1C" w:rsidRPr="00F55A1C">
        <w:rPr>
          <w:rFonts w:cstheme="minorHAnsi"/>
          <w:color w:val="000000"/>
        </w:rPr>
        <w:t>nnual audited financial statements are currently listed on the Rhode Island Commerce Corporation’s website.</w:t>
      </w:r>
    </w:p>
    <w:p w14:paraId="0991D6B1" w14:textId="134FD403" w:rsidR="00FA5670" w:rsidRPr="00C9183C" w:rsidRDefault="00FA5670" w:rsidP="00FA5670">
      <w:pPr>
        <w:spacing w:after="180" w:line="276" w:lineRule="auto"/>
        <w:jc w:val="both"/>
        <w:rPr>
          <w:rFonts w:cstheme="minorHAnsi"/>
          <w:color w:val="000000"/>
          <w:u w:color="000000"/>
        </w:rPr>
      </w:pPr>
    </w:p>
    <w:p w14:paraId="3AE5ECFD" w14:textId="493EC9A5" w:rsidR="00FA5670" w:rsidRPr="00C9183C" w:rsidRDefault="00FA5670" w:rsidP="00FA5670">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B47BFA" w:rsidRPr="0033092E">
        <w:rPr>
          <w:rFonts w:eastAsiaTheme="majorEastAsia" w:cstheme="minorHAnsi"/>
          <w:i/>
          <w:iCs/>
        </w:rPr>
        <w:t>RIIFC staff will work with RICC staff to post information required by the Act on the RICC website.</w:t>
      </w:r>
    </w:p>
    <w:p w14:paraId="21C17197" w14:textId="2F3A2607" w:rsidR="00FA5670" w:rsidRPr="009528E3" w:rsidRDefault="00FA5670" w:rsidP="00FA5670">
      <w:pPr>
        <w:pStyle w:val="Heading4"/>
        <w:jc w:val="both"/>
        <w:rPr>
          <w:rFonts w:asciiTheme="minorHAnsi" w:hAnsiTheme="minorHAnsi" w:cstheme="minorHAnsi"/>
          <w:color w:val="auto"/>
        </w:rPr>
      </w:pPr>
      <w:r w:rsidRPr="00C9183C">
        <w:rPr>
          <w:rFonts w:asciiTheme="minorHAnsi" w:hAnsiTheme="minorHAnsi" w:cstheme="minorHAnsi"/>
        </w:rPr>
        <w:t xml:space="preserve">Anticipated Completion Date: </w:t>
      </w:r>
      <w:r w:rsidR="009528E3">
        <w:rPr>
          <w:rFonts w:asciiTheme="minorHAnsi" w:hAnsiTheme="minorHAnsi" w:cstheme="minorHAnsi"/>
        </w:rPr>
        <w:t xml:space="preserve"> </w:t>
      </w:r>
      <w:r w:rsidR="009528E3" w:rsidRPr="009528E3">
        <w:rPr>
          <w:rFonts w:asciiTheme="minorHAnsi" w:hAnsiTheme="minorHAnsi" w:cstheme="minorHAnsi"/>
          <w:color w:val="auto"/>
        </w:rPr>
        <w:t>12/31/19</w:t>
      </w:r>
    </w:p>
    <w:p w14:paraId="152F72DE" w14:textId="77777777" w:rsidR="00FA5670" w:rsidRDefault="00FA5670"/>
    <w:p w14:paraId="58566D4A" w14:textId="77777777" w:rsidR="00206BA8" w:rsidRPr="00206BA8" w:rsidRDefault="00206BA8" w:rsidP="00206BA8">
      <w:pPr>
        <w:pStyle w:val="Heading2"/>
        <w:rPr>
          <w:rStyle w:val="s288eb53e1"/>
          <w:rFonts w:asciiTheme="majorHAnsi" w:hAnsiTheme="majorHAnsi" w:cstheme="majorBidi"/>
          <w:b w:val="0"/>
          <w:bCs w:val="0"/>
          <w:color w:val="2F5496" w:themeColor="accent1" w:themeShade="BF"/>
          <w:sz w:val="26"/>
          <w:szCs w:val="26"/>
        </w:rPr>
      </w:pPr>
      <w:bookmarkStart w:id="8" w:name="_Toc20398941"/>
      <w:r w:rsidRPr="00206BA8">
        <w:rPr>
          <w:rStyle w:val="s288eb53e1"/>
          <w:rFonts w:asciiTheme="majorHAnsi" w:hAnsiTheme="majorHAnsi" w:cstheme="majorBidi"/>
          <w:b w:val="0"/>
          <w:bCs w:val="0"/>
          <w:color w:val="2F5496" w:themeColor="accent1" w:themeShade="BF"/>
          <w:sz w:val="26"/>
          <w:szCs w:val="26"/>
        </w:rPr>
        <w:t>Develop Formal Policy to Govern Bond Issuance and Monitoring Processes</w:t>
      </w:r>
      <w:bookmarkEnd w:id="8"/>
      <w:r w:rsidRPr="00206BA8">
        <w:rPr>
          <w:rStyle w:val="s288eb53e1"/>
          <w:rFonts w:asciiTheme="majorHAnsi" w:hAnsiTheme="majorHAnsi" w:cstheme="majorBidi"/>
          <w:b w:val="0"/>
          <w:bCs w:val="0"/>
          <w:color w:val="2F5496" w:themeColor="accent1" w:themeShade="BF"/>
          <w:sz w:val="26"/>
          <w:szCs w:val="26"/>
        </w:rPr>
        <w:t xml:space="preserve"> </w:t>
      </w:r>
    </w:p>
    <w:p w14:paraId="3AAE925A" w14:textId="345CBEF3" w:rsidR="009F1843" w:rsidRPr="007234F2" w:rsidRDefault="00206BA8" w:rsidP="00D96232">
      <w:pPr>
        <w:pStyle w:val="Normal1"/>
        <w:spacing w:after="180" w:line="276" w:lineRule="auto"/>
        <w:jc w:val="both"/>
        <w:rPr>
          <w:rStyle w:val="s288eb53e1"/>
          <w:rFonts w:asciiTheme="minorHAnsi" w:eastAsiaTheme="majorEastAsia" w:hAnsiTheme="minorHAnsi" w:cstheme="minorHAnsi"/>
          <w:b w:val="0"/>
          <w:bCs w:val="0"/>
        </w:rPr>
      </w:pPr>
      <w:r w:rsidRPr="004A5A55">
        <w:rPr>
          <w:rStyle w:val="s2cc9b3cb1"/>
          <w:rFonts w:asciiTheme="minorHAnsi" w:hAnsiTheme="minorHAnsi" w:cstheme="minorHAnsi"/>
        </w:rPr>
        <w:t xml:space="preserve">The </w:t>
      </w:r>
      <w:r w:rsidR="005C02F6">
        <w:rPr>
          <w:rFonts w:asciiTheme="minorHAnsi" w:hAnsiTheme="minorHAnsi" w:cstheme="minorHAnsi"/>
          <w:sz w:val="22"/>
          <w:szCs w:val="22"/>
        </w:rPr>
        <w:t xml:space="preserve">RIIFC policy </w:t>
      </w:r>
      <w:r w:rsidRPr="004A5A55">
        <w:rPr>
          <w:rStyle w:val="s2cc9b3cb1"/>
          <w:rFonts w:asciiTheme="minorHAnsi" w:hAnsiTheme="minorHAnsi" w:cstheme="minorHAnsi"/>
        </w:rPr>
        <w:t xml:space="preserve">manual is established to define and reflect current operational processes. The policy manual is reviewed and approved by the </w:t>
      </w:r>
      <w:r w:rsidR="0018040D">
        <w:rPr>
          <w:rStyle w:val="s2cc9b3cb1"/>
          <w:rFonts w:asciiTheme="minorHAnsi" w:hAnsiTheme="minorHAnsi" w:cstheme="minorHAnsi"/>
        </w:rPr>
        <w:t>B</w:t>
      </w:r>
      <w:r w:rsidRPr="004A5A55">
        <w:rPr>
          <w:rStyle w:val="s2cc9b3cb1"/>
          <w:rFonts w:asciiTheme="minorHAnsi" w:hAnsiTheme="minorHAnsi" w:cstheme="minorHAnsi"/>
        </w:rPr>
        <w:t>oard.</w:t>
      </w:r>
      <w:r w:rsidR="007234F2">
        <w:rPr>
          <w:rStyle w:val="s2cc9b3cb1"/>
          <w:rFonts w:asciiTheme="minorHAnsi" w:hAnsiTheme="minorHAnsi" w:cstheme="minorHAnsi"/>
        </w:rPr>
        <w:t xml:space="preserve"> </w:t>
      </w:r>
      <w:r w:rsidR="00BC418A" w:rsidRPr="009F1843">
        <w:rPr>
          <w:rStyle w:val="s288eb53e1"/>
          <w:rFonts w:asciiTheme="minorHAnsi" w:eastAsia="Calibri" w:hAnsiTheme="minorHAnsi" w:cstheme="minorHAnsi"/>
          <w:b w:val="0"/>
        </w:rPr>
        <w:t>The RIIFC does have several procedural</w:t>
      </w:r>
      <w:r w:rsidR="00BC418A" w:rsidRPr="009F1843">
        <w:rPr>
          <w:rStyle w:val="s288eb53e1"/>
          <w:rFonts w:asciiTheme="minorHAnsi" w:eastAsia="Calibri" w:hAnsiTheme="minorHAnsi" w:cstheme="minorHAnsi"/>
        </w:rPr>
        <w:t xml:space="preserve"> </w:t>
      </w:r>
      <w:r w:rsidR="00BC418A" w:rsidRPr="009F1843">
        <w:rPr>
          <w:rStyle w:val="s2cc9b3cb1"/>
          <w:rFonts w:asciiTheme="minorHAnsi" w:hAnsiTheme="minorHAnsi" w:cstheme="minorHAnsi"/>
        </w:rPr>
        <w:t>documents to direct the bond approval process</w:t>
      </w:r>
      <w:r w:rsidR="00BC418A">
        <w:rPr>
          <w:rStyle w:val="s2cc9b3cb1"/>
          <w:rFonts w:asciiTheme="minorHAnsi" w:hAnsiTheme="minorHAnsi" w:cstheme="minorHAnsi"/>
        </w:rPr>
        <w:t>,</w:t>
      </w:r>
      <w:r w:rsidR="00BC418A" w:rsidRPr="009F1843">
        <w:rPr>
          <w:rStyle w:val="s2cc9b3cb1"/>
          <w:rFonts w:asciiTheme="minorHAnsi" w:hAnsiTheme="minorHAnsi" w:cstheme="minorHAnsi"/>
        </w:rPr>
        <w:t xml:space="preserve"> and eligibilit</w:t>
      </w:r>
      <w:r w:rsidR="00BC418A" w:rsidRPr="004A5A55">
        <w:rPr>
          <w:rStyle w:val="s2cc9b3cb1"/>
          <w:rFonts w:asciiTheme="minorHAnsi" w:hAnsiTheme="minorHAnsi" w:cstheme="minorHAnsi"/>
        </w:rPr>
        <w:t>y requirements are documented within their bylaws. Additionally</w:t>
      </w:r>
      <w:r w:rsidR="00BC418A">
        <w:rPr>
          <w:rStyle w:val="s2cc9b3cb1"/>
          <w:rFonts w:asciiTheme="minorHAnsi" w:hAnsiTheme="minorHAnsi" w:cstheme="minorHAnsi"/>
        </w:rPr>
        <w:t>,</w:t>
      </w:r>
      <w:r w:rsidR="00BC418A" w:rsidRPr="004A5A55">
        <w:rPr>
          <w:rStyle w:val="s2cc9b3cb1"/>
          <w:rFonts w:asciiTheme="minorHAnsi" w:hAnsiTheme="minorHAnsi" w:cstheme="minorHAnsi"/>
        </w:rPr>
        <w:t xml:space="preserve"> all decisions made by </w:t>
      </w:r>
      <w:r w:rsidR="0018040D">
        <w:rPr>
          <w:rStyle w:val="s2cc9b3cb1"/>
          <w:rFonts w:asciiTheme="minorHAnsi" w:hAnsiTheme="minorHAnsi" w:cstheme="minorHAnsi"/>
        </w:rPr>
        <w:t>M</w:t>
      </w:r>
      <w:r w:rsidR="00BC418A" w:rsidRPr="004A5A55">
        <w:rPr>
          <w:rStyle w:val="s2cc9b3cb1"/>
          <w:rFonts w:asciiTheme="minorHAnsi" w:hAnsiTheme="minorHAnsi" w:cstheme="minorHAnsi"/>
        </w:rPr>
        <w:t xml:space="preserve">anagement for bond issuance are reviewed and approved by the </w:t>
      </w:r>
      <w:r w:rsidR="0018040D">
        <w:rPr>
          <w:rStyle w:val="s2cc9b3cb1"/>
          <w:rFonts w:asciiTheme="minorHAnsi" w:hAnsiTheme="minorHAnsi" w:cstheme="minorHAnsi"/>
        </w:rPr>
        <w:t>B</w:t>
      </w:r>
      <w:r w:rsidR="00BC418A" w:rsidRPr="004A5A55">
        <w:rPr>
          <w:rStyle w:val="s2cc9b3cb1"/>
          <w:rFonts w:asciiTheme="minorHAnsi" w:hAnsiTheme="minorHAnsi" w:cstheme="minorHAnsi"/>
        </w:rPr>
        <w:t xml:space="preserve">oard prior to accepting the project </w:t>
      </w:r>
      <w:r w:rsidR="00BC418A">
        <w:rPr>
          <w:rStyle w:val="s2cc9b3cb1"/>
          <w:rFonts w:asciiTheme="minorHAnsi" w:hAnsiTheme="minorHAnsi" w:cstheme="minorHAnsi"/>
        </w:rPr>
        <w:t>and bond issuance</w:t>
      </w:r>
      <w:r w:rsidR="00BC418A" w:rsidRPr="004A5A55">
        <w:rPr>
          <w:rStyle w:val="s2cc9b3cb1"/>
          <w:rFonts w:asciiTheme="minorHAnsi" w:hAnsiTheme="minorHAnsi" w:cstheme="minorHAnsi"/>
        </w:rPr>
        <w:t>.</w:t>
      </w:r>
      <w:r w:rsidR="00BC418A">
        <w:rPr>
          <w:rStyle w:val="s2cc9b3cb1"/>
          <w:rFonts w:asciiTheme="minorHAnsi" w:hAnsiTheme="minorHAnsi" w:cstheme="minorHAnsi"/>
        </w:rPr>
        <w:t xml:space="preserve">  </w:t>
      </w:r>
      <w:r w:rsidR="007234F2">
        <w:rPr>
          <w:rStyle w:val="s2cc9b3cb1"/>
          <w:rFonts w:asciiTheme="minorHAnsi" w:hAnsiTheme="minorHAnsi" w:cstheme="minorHAnsi"/>
        </w:rPr>
        <w:t xml:space="preserve"> However, </w:t>
      </w:r>
      <w:r w:rsidRPr="00206BA8">
        <w:rPr>
          <w:rStyle w:val="s288eb53e1"/>
          <w:rFonts w:asciiTheme="minorHAnsi" w:eastAsia="Calibri" w:hAnsiTheme="minorHAnsi" w:cstheme="minorHAnsi"/>
          <w:b w:val="0"/>
        </w:rPr>
        <w:t>RIIFC has no formal policy document that governs the bond issuance and monitoring processes.</w:t>
      </w:r>
      <w:r w:rsidRPr="00206BA8">
        <w:rPr>
          <w:rStyle w:val="s288eb53e1"/>
          <w:rFonts w:asciiTheme="minorHAnsi" w:eastAsia="Calibri" w:hAnsiTheme="minorHAnsi" w:cstheme="minorHAnsi"/>
        </w:rPr>
        <w:t xml:space="preserve">  </w:t>
      </w:r>
    </w:p>
    <w:p w14:paraId="0171C5C1" w14:textId="571BCE76" w:rsidR="0011428C" w:rsidRDefault="009F1843" w:rsidP="00D96232">
      <w:pPr>
        <w:pStyle w:val="Normal1"/>
        <w:spacing w:after="180" w:line="276" w:lineRule="auto"/>
        <w:jc w:val="both"/>
        <w:rPr>
          <w:rStyle w:val="s2cc9b3cb1"/>
          <w:rFonts w:asciiTheme="minorHAnsi" w:hAnsiTheme="minorHAnsi" w:cstheme="minorHAnsi"/>
        </w:rPr>
      </w:pPr>
      <w:r>
        <w:rPr>
          <w:rStyle w:val="s2cc9b3cb1"/>
          <w:rFonts w:asciiTheme="minorHAnsi" w:hAnsiTheme="minorHAnsi" w:cstheme="minorHAnsi"/>
        </w:rPr>
        <w:t xml:space="preserve">Although these other documents and approvals help mitigate risk associated with a lack of policies, formal </w:t>
      </w:r>
      <w:r w:rsidR="0011428C">
        <w:rPr>
          <w:rStyle w:val="s2cc9b3cb1"/>
          <w:rFonts w:asciiTheme="minorHAnsi" w:hAnsiTheme="minorHAnsi" w:cstheme="minorHAnsi"/>
        </w:rPr>
        <w:t>policies</w:t>
      </w:r>
      <w:r>
        <w:rPr>
          <w:rStyle w:val="s2cc9b3cb1"/>
          <w:rFonts w:asciiTheme="minorHAnsi" w:hAnsiTheme="minorHAnsi" w:cstheme="minorHAnsi"/>
        </w:rPr>
        <w:t xml:space="preserve"> are needed because they establish a general plan of action used to guide outcomes and </w:t>
      </w:r>
      <w:r w:rsidR="005C02F6">
        <w:rPr>
          <w:rStyle w:val="s2cc9b3cb1"/>
          <w:rFonts w:asciiTheme="minorHAnsi" w:hAnsiTheme="minorHAnsi" w:cstheme="minorHAnsi"/>
        </w:rPr>
        <w:t>serve as a</w:t>
      </w:r>
      <w:r w:rsidR="0011428C">
        <w:rPr>
          <w:rStyle w:val="s2cc9b3cb1"/>
          <w:rFonts w:asciiTheme="minorHAnsi" w:hAnsiTheme="minorHAnsi" w:cstheme="minorHAnsi"/>
        </w:rPr>
        <w:t xml:space="preserve"> fundamental guideline to help make decisions</w:t>
      </w:r>
      <w:r w:rsidR="00BC418A">
        <w:rPr>
          <w:rStyle w:val="s2cc9b3cb1"/>
          <w:rFonts w:asciiTheme="minorHAnsi" w:hAnsiTheme="minorHAnsi" w:cstheme="minorHAnsi"/>
        </w:rPr>
        <w:t xml:space="preserve"> and ensure continuity for succession planning</w:t>
      </w:r>
      <w:r w:rsidR="0011428C">
        <w:rPr>
          <w:rStyle w:val="s2cc9b3cb1"/>
          <w:rFonts w:asciiTheme="minorHAnsi" w:hAnsiTheme="minorHAnsi" w:cstheme="minorHAnsi"/>
        </w:rPr>
        <w:t>.</w:t>
      </w:r>
    </w:p>
    <w:p w14:paraId="0BE0A274" w14:textId="1B14B200" w:rsidR="0011428C" w:rsidRDefault="0011428C" w:rsidP="0011428C">
      <w:pPr>
        <w:pStyle w:val="Heading4"/>
        <w:spacing w:line="240" w:lineRule="auto"/>
        <w:jc w:val="both"/>
        <w:rPr>
          <w:rFonts w:asciiTheme="minorHAnsi" w:hAnsiTheme="minorHAnsi" w:cstheme="minorHAnsi"/>
        </w:rPr>
      </w:pPr>
      <w:r w:rsidRPr="00C9183C">
        <w:rPr>
          <w:rFonts w:asciiTheme="minorHAnsi" w:hAnsiTheme="minorHAnsi" w:cstheme="minorHAnsi"/>
        </w:rPr>
        <w:t>Recommendation</w:t>
      </w:r>
      <w:r>
        <w:rPr>
          <w:rFonts w:asciiTheme="minorHAnsi" w:hAnsiTheme="minorHAnsi" w:cstheme="minorHAnsi"/>
        </w:rPr>
        <w:t>s</w:t>
      </w:r>
      <w:r w:rsidRPr="00C9183C">
        <w:rPr>
          <w:rFonts w:asciiTheme="minorHAnsi" w:hAnsiTheme="minorHAnsi" w:cstheme="minorHAnsi"/>
        </w:rPr>
        <w:t xml:space="preserve">: </w:t>
      </w:r>
    </w:p>
    <w:p w14:paraId="03FD5E14" w14:textId="128B23BF" w:rsidR="0011428C" w:rsidRPr="0011428C" w:rsidRDefault="0011428C" w:rsidP="0011428C">
      <w:pPr>
        <w:pStyle w:val="ListParagraph"/>
        <w:numPr>
          <w:ilvl w:val="0"/>
          <w:numId w:val="1"/>
        </w:numPr>
        <w:spacing w:after="180" w:line="276" w:lineRule="auto"/>
        <w:rPr>
          <w:rFonts w:asciiTheme="minorHAnsi" w:hAnsiTheme="minorHAnsi"/>
          <w:sz w:val="22"/>
          <w:szCs w:val="22"/>
        </w:rPr>
      </w:pPr>
      <w:r w:rsidRPr="0011428C">
        <w:rPr>
          <w:rFonts w:asciiTheme="minorHAnsi" w:hAnsiTheme="minorHAnsi"/>
          <w:sz w:val="22"/>
          <w:szCs w:val="22"/>
        </w:rPr>
        <w:t>Develop a formal policy to govern bond issuance and monitoring processes.</w:t>
      </w:r>
    </w:p>
    <w:p w14:paraId="7EE717F2" w14:textId="6A515DB6" w:rsidR="0011428C" w:rsidRPr="0011428C" w:rsidRDefault="0011428C" w:rsidP="0011428C">
      <w:pPr>
        <w:pStyle w:val="ListParagraph"/>
        <w:numPr>
          <w:ilvl w:val="0"/>
          <w:numId w:val="1"/>
        </w:numPr>
        <w:spacing w:after="180" w:line="276" w:lineRule="auto"/>
      </w:pPr>
      <w:r w:rsidRPr="0011428C">
        <w:rPr>
          <w:rFonts w:asciiTheme="minorHAnsi" w:hAnsiTheme="minorHAnsi"/>
          <w:sz w:val="22"/>
          <w:szCs w:val="22"/>
        </w:rPr>
        <w:t>Ensure policy is approved by the board</w:t>
      </w:r>
      <w:r>
        <w:t xml:space="preserve">. </w:t>
      </w:r>
    </w:p>
    <w:p w14:paraId="473EA554" w14:textId="36209F3A" w:rsidR="00290CBD" w:rsidRPr="00C9183C" w:rsidRDefault="0011428C" w:rsidP="007B18CD">
      <w:pPr>
        <w:spacing w:after="180" w:line="276" w:lineRule="auto"/>
        <w:jc w:val="both"/>
        <w:rPr>
          <w:rFonts w:cstheme="minorHAnsi"/>
          <w:color w:val="000000"/>
          <w:u w:color="000000"/>
        </w:rPr>
      </w:pPr>
      <w:r w:rsidRPr="00C9183C">
        <w:rPr>
          <w:rFonts w:eastAsiaTheme="majorEastAsia" w:cstheme="minorHAnsi"/>
          <w:i/>
          <w:iCs/>
          <w:color w:val="2F5496" w:themeColor="accent1" w:themeShade="BF"/>
        </w:rPr>
        <w:t>Management’s Response</w:t>
      </w:r>
      <w:r w:rsidR="00BC418A">
        <w:rPr>
          <w:rFonts w:eastAsiaTheme="majorEastAsia" w:cstheme="minorHAnsi"/>
          <w:i/>
          <w:iCs/>
          <w:color w:val="2F5496" w:themeColor="accent1" w:themeShade="BF"/>
        </w:rPr>
        <w:t>:</w:t>
      </w:r>
      <w:r w:rsidRPr="00C9183C">
        <w:rPr>
          <w:rFonts w:cstheme="minorHAnsi"/>
          <w:color w:val="000000"/>
          <w:u w:color="000000"/>
        </w:rPr>
        <w:t xml:space="preserve"> </w:t>
      </w:r>
      <w:r w:rsidR="007B18CD">
        <w:rPr>
          <w:rFonts w:cstheme="minorHAnsi"/>
          <w:color w:val="000000"/>
          <w:u w:color="000000"/>
        </w:rPr>
        <w:t xml:space="preserve">RIIFC Staff has compiled and submitted a draft policy manual on 9-17-2019 to the State’s auditors. </w:t>
      </w:r>
    </w:p>
    <w:p w14:paraId="2103CDA7" w14:textId="2E99372E" w:rsidR="0011428C" w:rsidRPr="00C9183C" w:rsidRDefault="0011428C" w:rsidP="0011428C">
      <w:pPr>
        <w:spacing w:after="180" w:line="276" w:lineRule="auto"/>
        <w:jc w:val="both"/>
        <w:rPr>
          <w:rFonts w:eastAsiaTheme="majorEastAsia" w:cstheme="minorHAnsi"/>
          <w:i/>
          <w:iCs/>
          <w:color w:val="2F5496" w:themeColor="accent1" w:themeShade="BF"/>
        </w:rPr>
      </w:pPr>
      <w:r w:rsidRPr="00C9183C">
        <w:rPr>
          <w:rFonts w:eastAsiaTheme="majorEastAsia" w:cstheme="minorHAnsi"/>
          <w:i/>
          <w:iCs/>
          <w:color w:val="2F5496" w:themeColor="accent1" w:themeShade="BF"/>
        </w:rPr>
        <w:t xml:space="preserve">Responsible Party: </w:t>
      </w:r>
      <w:r w:rsidR="0028044E" w:rsidRPr="0028044E">
        <w:rPr>
          <w:rFonts w:eastAsiaTheme="majorEastAsia" w:cstheme="minorHAnsi"/>
          <w:i/>
          <w:iCs/>
        </w:rPr>
        <w:t xml:space="preserve">Not applicable. </w:t>
      </w:r>
    </w:p>
    <w:p w14:paraId="29F55038" w14:textId="501766C5" w:rsidR="0011428C" w:rsidRPr="00290CBD" w:rsidRDefault="0011428C" w:rsidP="0011428C">
      <w:pPr>
        <w:pStyle w:val="Heading4"/>
        <w:jc w:val="both"/>
        <w:rPr>
          <w:rFonts w:asciiTheme="minorHAnsi" w:hAnsiTheme="minorHAnsi" w:cstheme="minorHAnsi"/>
          <w:color w:val="auto"/>
        </w:rPr>
      </w:pPr>
      <w:r w:rsidRPr="00C9183C">
        <w:rPr>
          <w:rFonts w:asciiTheme="minorHAnsi" w:hAnsiTheme="minorHAnsi" w:cstheme="minorHAnsi"/>
        </w:rPr>
        <w:t xml:space="preserve">Anticipated Completion Date: </w:t>
      </w:r>
      <w:r w:rsidR="00290CBD">
        <w:rPr>
          <w:rFonts w:asciiTheme="minorHAnsi" w:hAnsiTheme="minorHAnsi" w:cstheme="minorHAnsi"/>
        </w:rPr>
        <w:t xml:space="preserve"> </w:t>
      </w:r>
      <w:r w:rsidR="0028044E">
        <w:rPr>
          <w:rFonts w:asciiTheme="minorHAnsi" w:hAnsiTheme="minorHAnsi" w:cstheme="minorHAnsi"/>
          <w:color w:val="auto"/>
        </w:rPr>
        <w:t>C</w:t>
      </w:r>
      <w:r w:rsidR="00290CBD" w:rsidRPr="00290CBD">
        <w:rPr>
          <w:rFonts w:asciiTheme="minorHAnsi" w:hAnsiTheme="minorHAnsi" w:cstheme="minorHAnsi"/>
          <w:color w:val="auto"/>
        </w:rPr>
        <w:t>ompleted</w:t>
      </w:r>
      <w:r w:rsidR="0028044E">
        <w:rPr>
          <w:rFonts w:asciiTheme="minorHAnsi" w:hAnsiTheme="minorHAnsi" w:cstheme="minorHAnsi"/>
          <w:color w:val="auto"/>
        </w:rPr>
        <w:t>.</w:t>
      </w:r>
    </w:p>
    <w:p w14:paraId="2FF2A4E1" w14:textId="77777777" w:rsidR="00206BA8" w:rsidRPr="004F7B05" w:rsidRDefault="00206BA8" w:rsidP="004F7B05">
      <w:pPr>
        <w:pStyle w:val="Heading2"/>
      </w:pPr>
    </w:p>
    <w:p w14:paraId="10FC11CC" w14:textId="77777777" w:rsidR="00206BA8" w:rsidRPr="004F7B05" w:rsidRDefault="00206BA8" w:rsidP="004F7B05">
      <w:pPr>
        <w:pStyle w:val="Heading2"/>
        <w:rPr>
          <w:rStyle w:val="s2cc9b3cb1"/>
          <w:rFonts w:asciiTheme="majorHAnsi" w:hAnsiTheme="majorHAnsi" w:cstheme="majorBidi"/>
          <w:color w:val="2F5496" w:themeColor="accent1" w:themeShade="BF"/>
          <w:sz w:val="26"/>
          <w:szCs w:val="26"/>
        </w:rPr>
      </w:pPr>
    </w:p>
    <w:p w14:paraId="0C38FE5A" w14:textId="77777777" w:rsidR="00FA5670" w:rsidRDefault="00FA5670" w:rsidP="00FA5670">
      <w:pPr>
        <w:pStyle w:val="Heading1"/>
      </w:pPr>
      <w:bookmarkStart w:id="9" w:name="_Toc20398942"/>
      <w:r>
        <w:t>Objective and Scope</w:t>
      </w:r>
      <w:bookmarkEnd w:id="9"/>
    </w:p>
    <w:p w14:paraId="018286A9" w14:textId="05399010" w:rsidR="00FA5670" w:rsidRDefault="00FA5670" w:rsidP="00425DBD">
      <w:pPr>
        <w:spacing w:after="180" w:line="276" w:lineRule="auto"/>
        <w:jc w:val="both"/>
      </w:pPr>
      <w:r>
        <w:t>The Office of Internal Audit (OIA) conducted a limited scope audit of the</w:t>
      </w:r>
      <w:r w:rsidR="00C535EB">
        <w:t xml:space="preserve"> Rhode Island Industrial Facilities Corporation for the period of January 1, 2018 through March 31, 2019. </w:t>
      </w:r>
      <w:r>
        <w:t xml:space="preserve"> OIA reviewed </w:t>
      </w:r>
      <w:r w:rsidR="00C535EB">
        <w:t>RIIFC’s</w:t>
      </w:r>
      <w:r>
        <w:t xml:space="preserve"> compliance </w:t>
      </w:r>
      <w:r>
        <w:lastRenderedPageBreak/>
        <w:t>with the Quasi-Public Corporations Accountability and Transparency Act</w:t>
      </w:r>
      <w:r w:rsidR="002373CD">
        <w:t xml:space="preserve"> and with policies and procedures pertinent to the eligibility and monitoring of bonds issued by the RIIFC. </w:t>
      </w:r>
      <w:r w:rsidR="00425DBD" w:rsidRPr="00F01084" w:rsidDel="00BC418A">
        <w:t xml:space="preserve">The objective of the audit was to determine if the </w:t>
      </w:r>
      <w:r w:rsidR="00425DBD" w:rsidDel="00BC418A">
        <w:t xml:space="preserve">RIIFC </w:t>
      </w:r>
      <w:r w:rsidR="00425DBD" w:rsidRPr="00F01084" w:rsidDel="00BC418A">
        <w:t>complies with the requirements of the Quasi-Public Corporations Accountability and Transparency Act</w:t>
      </w:r>
      <w:r w:rsidR="00425DBD" w:rsidDel="00BC418A">
        <w:t xml:space="preserve"> as well as determine if </w:t>
      </w:r>
      <w:r w:rsidR="0018040D">
        <w:t>bond issuance is properly administered and monitored</w:t>
      </w:r>
      <w:r w:rsidR="00425DBD" w:rsidRPr="00F01084" w:rsidDel="00BC418A">
        <w:t xml:space="preserve">.  </w:t>
      </w:r>
    </w:p>
    <w:p w14:paraId="21D8D15F" w14:textId="77777777" w:rsidR="00FA5670" w:rsidRDefault="00FA5670" w:rsidP="00FA5670">
      <w:pPr>
        <w:pStyle w:val="Heading1"/>
      </w:pPr>
      <w:bookmarkStart w:id="10" w:name="_Toc20398943"/>
      <w:r>
        <w:t>Methodology</w:t>
      </w:r>
      <w:bookmarkEnd w:id="10"/>
    </w:p>
    <w:p w14:paraId="15E4E293" w14:textId="2FB47A7B" w:rsidR="00FA5670" w:rsidRPr="00F01084" w:rsidRDefault="00FA5670" w:rsidP="00FA5670">
      <w:pPr>
        <w:spacing w:after="180" w:line="276" w:lineRule="auto"/>
      </w:pPr>
      <w:r w:rsidRPr="00F01084">
        <w:t xml:space="preserve">As part of our audit work, the OIA gained an understanding of the </w:t>
      </w:r>
      <w:r w:rsidR="00C535EB">
        <w:t xml:space="preserve">RIIFC </w:t>
      </w:r>
      <w:r w:rsidRPr="00F01084">
        <w:t>and its operations.  To address our audit objective, we performed the following:</w:t>
      </w:r>
    </w:p>
    <w:p w14:paraId="08D4CDF3" w14:textId="77777777" w:rsidR="00FA5670" w:rsidRPr="00F01084" w:rsidRDefault="00FA5670" w:rsidP="00FA5670">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Requested information required under the Quasi-Public Act</w:t>
      </w:r>
    </w:p>
    <w:p w14:paraId="66EDA95F" w14:textId="6C4B9495" w:rsidR="00FA5670" w:rsidRDefault="00FA5670" w:rsidP="00FA5670">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Searched website for adequate transparency disclosures</w:t>
      </w:r>
    </w:p>
    <w:p w14:paraId="63417A52" w14:textId="77777777" w:rsidR="005160D7" w:rsidRDefault="005160D7" w:rsidP="005160D7">
      <w:pPr>
        <w:pStyle w:val="ListParagraph"/>
        <w:numPr>
          <w:ilvl w:val="0"/>
          <w:numId w:val="4"/>
        </w:numPr>
        <w:spacing w:after="180" w:line="276" w:lineRule="auto"/>
        <w:rPr>
          <w:rFonts w:asciiTheme="minorHAnsi" w:hAnsiTheme="minorHAnsi"/>
          <w:sz w:val="22"/>
          <w:szCs w:val="22"/>
        </w:rPr>
      </w:pPr>
      <w:r w:rsidRPr="00F01084">
        <w:rPr>
          <w:rFonts w:asciiTheme="minorHAnsi" w:hAnsiTheme="minorHAnsi"/>
          <w:sz w:val="22"/>
          <w:szCs w:val="22"/>
        </w:rPr>
        <w:t xml:space="preserve">Reviewed </w:t>
      </w:r>
      <w:r>
        <w:rPr>
          <w:rFonts w:asciiTheme="minorHAnsi" w:hAnsiTheme="minorHAnsi"/>
          <w:sz w:val="22"/>
          <w:szCs w:val="22"/>
        </w:rPr>
        <w:t xml:space="preserve">procedures for bond issuance process </w:t>
      </w:r>
    </w:p>
    <w:p w14:paraId="602377C0" w14:textId="4AC55118" w:rsidR="00DB7622" w:rsidRDefault="005160D7" w:rsidP="00DB7622">
      <w:pPr>
        <w:pStyle w:val="ListParagraph"/>
        <w:numPr>
          <w:ilvl w:val="0"/>
          <w:numId w:val="4"/>
        </w:numPr>
        <w:spacing w:after="180" w:line="276" w:lineRule="auto"/>
        <w:rPr>
          <w:rFonts w:asciiTheme="minorHAnsi" w:hAnsiTheme="minorHAnsi"/>
          <w:sz w:val="22"/>
          <w:szCs w:val="22"/>
        </w:rPr>
      </w:pPr>
      <w:r>
        <w:rPr>
          <w:rFonts w:asciiTheme="minorHAnsi" w:hAnsiTheme="minorHAnsi"/>
          <w:sz w:val="22"/>
          <w:szCs w:val="22"/>
        </w:rPr>
        <w:t xml:space="preserve">Reviewed </w:t>
      </w:r>
      <w:r w:rsidR="00DB7622">
        <w:rPr>
          <w:rFonts w:asciiTheme="minorHAnsi" w:hAnsiTheme="minorHAnsi"/>
          <w:sz w:val="22"/>
          <w:szCs w:val="22"/>
        </w:rPr>
        <w:t>bond application and issuance process and t</w:t>
      </w:r>
      <w:r>
        <w:rPr>
          <w:rFonts w:asciiTheme="minorHAnsi" w:hAnsiTheme="minorHAnsi"/>
          <w:sz w:val="22"/>
          <w:szCs w:val="22"/>
        </w:rPr>
        <w:t>ested a sample of bonds fo</w:t>
      </w:r>
      <w:r w:rsidR="00DB7622">
        <w:rPr>
          <w:rFonts w:asciiTheme="minorHAnsi" w:hAnsiTheme="minorHAnsi"/>
          <w:sz w:val="22"/>
          <w:szCs w:val="22"/>
        </w:rPr>
        <w:t>r compliance with eligibility and approval requirements</w:t>
      </w:r>
    </w:p>
    <w:p w14:paraId="0EC4DC44" w14:textId="67F6B9C9" w:rsidR="00DB7622" w:rsidRPr="00DB7622" w:rsidRDefault="00DB7622" w:rsidP="00DB7622">
      <w:pPr>
        <w:pStyle w:val="ListParagraph"/>
        <w:numPr>
          <w:ilvl w:val="0"/>
          <w:numId w:val="4"/>
        </w:numPr>
        <w:spacing w:after="180" w:line="276" w:lineRule="auto"/>
        <w:rPr>
          <w:rFonts w:asciiTheme="minorHAnsi" w:hAnsiTheme="minorHAnsi"/>
          <w:sz w:val="22"/>
          <w:szCs w:val="22"/>
        </w:rPr>
      </w:pPr>
      <w:r>
        <w:rPr>
          <w:rFonts w:asciiTheme="minorHAnsi" w:hAnsiTheme="minorHAnsi"/>
          <w:sz w:val="22"/>
          <w:szCs w:val="22"/>
        </w:rPr>
        <w:t xml:space="preserve">Evaluated bond issuance costs against industry standards </w:t>
      </w:r>
    </w:p>
    <w:p w14:paraId="46878BA6" w14:textId="77777777" w:rsidR="00FA5670" w:rsidRDefault="00C535EB" w:rsidP="00206BA8">
      <w:pPr>
        <w:spacing w:after="180" w:line="276" w:lineRule="auto"/>
      </w:pPr>
      <w:bookmarkStart w:id="11" w:name="_Hlk17971288"/>
      <w:r>
        <w:t>The results of this limited scope audit are communicated within this report.  The OIA used an external audit firm, CliftonLarsonAllen</w:t>
      </w:r>
      <w:r w:rsidR="0011342B">
        <w:t>,</w:t>
      </w:r>
      <w:r>
        <w:t xml:space="preserve"> LLP</w:t>
      </w:r>
      <w:r w:rsidR="0011342B">
        <w:t xml:space="preserve"> (CLA)</w:t>
      </w:r>
      <w:r>
        <w:t xml:space="preserve">, to supplement its staff during the performance of this audit.  </w:t>
      </w:r>
      <w:r w:rsidR="0011342B">
        <w:t xml:space="preserve">CLA performed the detailed audit work and was selected using a competitive bidding process. </w:t>
      </w:r>
      <w:bookmarkEnd w:id="11"/>
    </w:p>
    <w:sectPr w:rsidR="00FA56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FA22A" w14:textId="77777777" w:rsidR="0028762F" w:rsidRDefault="0028762F" w:rsidP="004F7B05">
      <w:pPr>
        <w:spacing w:after="0" w:line="240" w:lineRule="auto"/>
      </w:pPr>
      <w:r>
        <w:separator/>
      </w:r>
    </w:p>
  </w:endnote>
  <w:endnote w:type="continuationSeparator" w:id="0">
    <w:p w14:paraId="22464377" w14:textId="77777777" w:rsidR="0028762F" w:rsidRDefault="0028762F" w:rsidP="004F7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549CC" w14:textId="77777777" w:rsidR="00ED4D32" w:rsidRDefault="00ED4D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9DAB" w14:textId="77777777" w:rsidR="00ED4D32" w:rsidRDefault="00ED4D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FBFE" w14:textId="77777777" w:rsidR="00ED4D32" w:rsidRDefault="00ED4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51D61" w14:textId="77777777" w:rsidR="0028762F" w:rsidRDefault="0028762F" w:rsidP="004F7B05">
      <w:pPr>
        <w:spacing w:after="0" w:line="240" w:lineRule="auto"/>
      </w:pPr>
      <w:r>
        <w:separator/>
      </w:r>
    </w:p>
  </w:footnote>
  <w:footnote w:type="continuationSeparator" w:id="0">
    <w:p w14:paraId="78EB1AE7" w14:textId="77777777" w:rsidR="0028762F" w:rsidRDefault="0028762F" w:rsidP="004F7B05">
      <w:pPr>
        <w:spacing w:after="0" w:line="240" w:lineRule="auto"/>
      </w:pPr>
      <w:r>
        <w:continuationSeparator/>
      </w:r>
    </w:p>
  </w:footnote>
  <w:footnote w:id="1">
    <w:p w14:paraId="4C6A2B46" w14:textId="77777777" w:rsidR="00BC418A" w:rsidRDefault="00BC418A" w:rsidP="00BC418A">
      <w:pPr>
        <w:pStyle w:val="FootnoteText"/>
      </w:pPr>
      <w:r>
        <w:rPr>
          <w:rStyle w:val="FootnoteReference"/>
        </w:rPr>
        <w:footnoteRef/>
      </w:r>
      <w:r>
        <w:t xml:space="preserve"> A conduit issuer is an organization, usually a government agency, that issues municipal securities to raise capital for revenue-generating projects where the funds generated are used by a third party (known as the “conduit borrower”) to make payments to investors. </w:t>
      </w:r>
    </w:p>
  </w:footnote>
  <w:footnote w:id="2">
    <w:p w14:paraId="1B900EAE" w14:textId="5BD64103" w:rsidR="002373CD" w:rsidRDefault="002373CD">
      <w:pPr>
        <w:pStyle w:val="FootnoteText"/>
      </w:pPr>
      <w:r>
        <w:rPr>
          <w:rStyle w:val="FootnoteReference"/>
        </w:rPr>
        <w:footnoteRef/>
      </w:r>
      <w:r>
        <w:t xml:space="preserve"> Soft cost is a term used for an expense item that is not considered a direct construction cost. Examples of soft costs include architectural, engineering, financing, and legal fees, and other pre- and post- construction expenses.</w:t>
      </w:r>
    </w:p>
  </w:footnote>
  <w:footnote w:id="3">
    <w:p w14:paraId="21F9DF0F" w14:textId="2A4A92E7" w:rsidR="007234F2" w:rsidRDefault="007234F2">
      <w:pPr>
        <w:pStyle w:val="FootnoteText"/>
      </w:pPr>
      <w:r>
        <w:rPr>
          <w:rStyle w:val="FootnoteReference"/>
        </w:rPr>
        <w:footnoteRef/>
      </w:r>
      <w:r>
        <w:t xml:space="preserve"> Credit Enhancer means a government sponsored enterprise that at any time, directly or indirectly, purchases the Borrower Loan or provides credit enhancement with respect to the Borrower Loan. </w:t>
      </w:r>
    </w:p>
  </w:footnote>
  <w:footnote w:id="4">
    <w:p w14:paraId="0FEA7568" w14:textId="77777777" w:rsidR="0018040D" w:rsidRDefault="0018040D" w:rsidP="0018040D">
      <w:pPr>
        <w:pStyle w:val="FootnoteText"/>
      </w:pPr>
      <w:r>
        <w:rPr>
          <w:rStyle w:val="FootnoteReference"/>
        </w:rPr>
        <w:footnoteRef/>
      </w:r>
      <w:r>
        <w:t xml:space="preserve"> Although the audit scope was January 1, 2018 through March 31, 2019, the sample was selected from the population of all outstanding bonds, which was a total of 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64865" w14:textId="77777777" w:rsidR="00ED4D32" w:rsidRDefault="00ED4D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CDDB" w14:textId="4F33FDB2" w:rsidR="00ED4D32" w:rsidRDefault="00ED4D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0BC71" w14:textId="77777777" w:rsidR="00ED4D32" w:rsidRDefault="00ED4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79BC"/>
    <w:multiLevelType w:val="multilevel"/>
    <w:tmpl w:val="0C847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153F7"/>
    <w:multiLevelType w:val="hybridMultilevel"/>
    <w:tmpl w:val="33828E7A"/>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9541F"/>
    <w:multiLevelType w:val="hybridMultilevel"/>
    <w:tmpl w:val="82F0B6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22C02"/>
    <w:multiLevelType w:val="hybridMultilevel"/>
    <w:tmpl w:val="54721008"/>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DC0503"/>
    <w:multiLevelType w:val="multilevel"/>
    <w:tmpl w:val="DC24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2526E"/>
    <w:multiLevelType w:val="hybridMultilevel"/>
    <w:tmpl w:val="54721008"/>
    <w:lvl w:ilvl="0" w:tplc="8D9E7E10">
      <w:start w:val="1"/>
      <w:numFmt w:val="decimal"/>
      <w:lvlText w:val="%1."/>
      <w:lvlJc w:val="left"/>
      <w:pPr>
        <w:ind w:left="72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695EED"/>
    <w:multiLevelType w:val="multilevel"/>
    <w:tmpl w:val="0CE05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C135F2"/>
    <w:multiLevelType w:val="hybridMultilevel"/>
    <w:tmpl w:val="7A72E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A37C02"/>
    <w:multiLevelType w:val="multilevel"/>
    <w:tmpl w:val="453EB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86930A0"/>
    <w:multiLevelType w:val="hybridMultilevel"/>
    <w:tmpl w:val="3AA89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7"/>
  </w:num>
  <w:num w:numId="5">
    <w:abstractNumId w:val="5"/>
  </w:num>
  <w:num w:numId="6">
    <w:abstractNumId w:val="3"/>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F9"/>
    <w:rsid w:val="000074FC"/>
    <w:rsid w:val="00032638"/>
    <w:rsid w:val="000B5727"/>
    <w:rsid w:val="000D7431"/>
    <w:rsid w:val="00107DE9"/>
    <w:rsid w:val="0011342B"/>
    <w:rsid w:val="0011428C"/>
    <w:rsid w:val="001256AA"/>
    <w:rsid w:val="0018040D"/>
    <w:rsid w:val="00206BA8"/>
    <w:rsid w:val="002373CD"/>
    <w:rsid w:val="00264BED"/>
    <w:rsid w:val="0028044E"/>
    <w:rsid w:val="0028762F"/>
    <w:rsid w:val="00290CBD"/>
    <w:rsid w:val="00312380"/>
    <w:rsid w:val="0033092E"/>
    <w:rsid w:val="00425DBD"/>
    <w:rsid w:val="00436820"/>
    <w:rsid w:val="00443014"/>
    <w:rsid w:val="004C0AE2"/>
    <w:rsid w:val="004F7B05"/>
    <w:rsid w:val="005160D7"/>
    <w:rsid w:val="00531947"/>
    <w:rsid w:val="005B2F93"/>
    <w:rsid w:val="005C02F6"/>
    <w:rsid w:val="00654F3B"/>
    <w:rsid w:val="006E2B31"/>
    <w:rsid w:val="007234F2"/>
    <w:rsid w:val="007B18CD"/>
    <w:rsid w:val="007B29C9"/>
    <w:rsid w:val="007C7510"/>
    <w:rsid w:val="007E6615"/>
    <w:rsid w:val="00823BF7"/>
    <w:rsid w:val="00830FF9"/>
    <w:rsid w:val="00843161"/>
    <w:rsid w:val="0095010E"/>
    <w:rsid w:val="009528E3"/>
    <w:rsid w:val="009D226E"/>
    <w:rsid w:val="009F1843"/>
    <w:rsid w:val="00AB3EA2"/>
    <w:rsid w:val="00AE45F6"/>
    <w:rsid w:val="00B47BFA"/>
    <w:rsid w:val="00B509D4"/>
    <w:rsid w:val="00BA2F15"/>
    <w:rsid w:val="00BC418A"/>
    <w:rsid w:val="00BE3378"/>
    <w:rsid w:val="00C16456"/>
    <w:rsid w:val="00C535EB"/>
    <w:rsid w:val="00D7752C"/>
    <w:rsid w:val="00D86375"/>
    <w:rsid w:val="00D96232"/>
    <w:rsid w:val="00D96E0D"/>
    <w:rsid w:val="00DB7622"/>
    <w:rsid w:val="00DF59EF"/>
    <w:rsid w:val="00E52877"/>
    <w:rsid w:val="00EC341A"/>
    <w:rsid w:val="00ED4D32"/>
    <w:rsid w:val="00ED7C25"/>
    <w:rsid w:val="00F007B0"/>
    <w:rsid w:val="00F12CC0"/>
    <w:rsid w:val="00F55A1C"/>
    <w:rsid w:val="00FA5670"/>
    <w:rsid w:val="00FE6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4B061"/>
  <w15:chartTrackingRefBased/>
  <w15:docId w15:val="{AA9E9222-80B0-4F8B-8AD2-A2A1F321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5670"/>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5670"/>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FA5670"/>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5670"/>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A567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rsid w:val="00FA5670"/>
    <w:rPr>
      <w:color w:val="0000FF"/>
      <w:u w:val="single"/>
    </w:rPr>
  </w:style>
  <w:style w:type="paragraph" w:styleId="ListParagraph">
    <w:name w:val="List Paragraph"/>
    <w:basedOn w:val="Normal"/>
    <w:uiPriority w:val="34"/>
    <w:qFormat/>
    <w:rsid w:val="00FA5670"/>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TOC1">
    <w:name w:val="toc 1"/>
    <w:basedOn w:val="Normal"/>
    <w:next w:val="Normal"/>
    <w:autoRedefine/>
    <w:uiPriority w:val="39"/>
    <w:unhideWhenUsed/>
    <w:rsid w:val="00FA5670"/>
    <w:pPr>
      <w:spacing w:after="100" w:line="276" w:lineRule="auto"/>
    </w:pPr>
  </w:style>
  <w:style w:type="paragraph" w:styleId="TOC2">
    <w:name w:val="toc 2"/>
    <w:basedOn w:val="Normal"/>
    <w:next w:val="Normal"/>
    <w:autoRedefine/>
    <w:uiPriority w:val="39"/>
    <w:unhideWhenUsed/>
    <w:rsid w:val="00FA5670"/>
    <w:pPr>
      <w:spacing w:after="100" w:line="276" w:lineRule="auto"/>
      <w:ind w:left="220"/>
    </w:pPr>
  </w:style>
  <w:style w:type="paragraph" w:customStyle="1" w:styleId="Normal1">
    <w:name w:val="Normal1"/>
    <w:basedOn w:val="Normal"/>
    <w:rsid w:val="00FA5670"/>
    <w:pPr>
      <w:spacing w:after="0" w:line="240" w:lineRule="auto"/>
    </w:pPr>
    <w:rPr>
      <w:rFonts w:ascii="Times New Roman" w:eastAsia="Times New Roman" w:hAnsi="Times New Roman" w:cs="Times New Roman"/>
      <w:sz w:val="24"/>
      <w:szCs w:val="24"/>
    </w:rPr>
  </w:style>
  <w:style w:type="character" w:customStyle="1" w:styleId="s6c8efa9d1">
    <w:name w:val="s_6c8efa9d1"/>
    <w:basedOn w:val="DefaultParagraphFont"/>
    <w:rsid w:val="00FA5670"/>
    <w:rPr>
      <w:b/>
      <w:bCs/>
    </w:rPr>
  </w:style>
  <w:style w:type="paragraph" w:styleId="BalloonText">
    <w:name w:val="Balloon Text"/>
    <w:basedOn w:val="Normal"/>
    <w:link w:val="BalloonTextChar"/>
    <w:uiPriority w:val="99"/>
    <w:semiHidden/>
    <w:unhideWhenUsed/>
    <w:rsid w:val="00FA56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670"/>
    <w:rPr>
      <w:rFonts w:ascii="Segoe UI" w:hAnsi="Segoe UI" w:cs="Segoe UI"/>
      <w:sz w:val="18"/>
      <w:szCs w:val="18"/>
    </w:rPr>
  </w:style>
  <w:style w:type="character" w:customStyle="1" w:styleId="s2cc9b3cb1">
    <w:name w:val="s_2cc9b3cb1"/>
    <w:basedOn w:val="DefaultParagraphFont"/>
    <w:rsid w:val="00206BA8"/>
    <w:rPr>
      <w:rFonts w:ascii="Segoe UI" w:hAnsi="Segoe UI" w:cs="Segoe UI" w:hint="default"/>
      <w:color w:val="000000"/>
      <w:sz w:val="22"/>
      <w:szCs w:val="22"/>
    </w:rPr>
  </w:style>
  <w:style w:type="character" w:customStyle="1" w:styleId="s288eb53e1">
    <w:name w:val="s_288eb53e1"/>
    <w:basedOn w:val="DefaultParagraphFont"/>
    <w:rsid w:val="00206BA8"/>
    <w:rPr>
      <w:rFonts w:ascii="Segoe UI" w:hAnsi="Segoe UI" w:cs="Segoe UI" w:hint="default"/>
      <w:b/>
      <w:bCs/>
      <w:color w:val="000000"/>
      <w:sz w:val="22"/>
      <w:szCs w:val="22"/>
    </w:rPr>
  </w:style>
  <w:style w:type="character" w:styleId="CommentReference">
    <w:name w:val="annotation reference"/>
    <w:basedOn w:val="DefaultParagraphFont"/>
    <w:uiPriority w:val="99"/>
    <w:semiHidden/>
    <w:unhideWhenUsed/>
    <w:rsid w:val="00206BA8"/>
    <w:rPr>
      <w:sz w:val="16"/>
      <w:szCs w:val="16"/>
    </w:rPr>
  </w:style>
  <w:style w:type="paragraph" w:styleId="CommentText">
    <w:name w:val="annotation text"/>
    <w:basedOn w:val="Normal"/>
    <w:link w:val="CommentTextChar"/>
    <w:uiPriority w:val="99"/>
    <w:unhideWhenUsed/>
    <w:rsid w:val="00206BA8"/>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206BA8"/>
    <w:rPr>
      <w:rFonts w:ascii="Calibri" w:eastAsia="Calibri" w:hAnsi="Calibri" w:cs="Times New Roman"/>
      <w:sz w:val="20"/>
      <w:szCs w:val="20"/>
    </w:rPr>
  </w:style>
  <w:style w:type="character" w:customStyle="1" w:styleId="e24kjd">
    <w:name w:val="e24kjd"/>
    <w:basedOn w:val="DefaultParagraphFont"/>
    <w:rsid w:val="009F1843"/>
  </w:style>
  <w:style w:type="paragraph" w:styleId="FootnoteText">
    <w:name w:val="footnote text"/>
    <w:basedOn w:val="Normal"/>
    <w:link w:val="FootnoteTextChar"/>
    <w:uiPriority w:val="99"/>
    <w:semiHidden/>
    <w:unhideWhenUsed/>
    <w:rsid w:val="004F7B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B05"/>
    <w:rPr>
      <w:sz w:val="20"/>
      <w:szCs w:val="20"/>
    </w:rPr>
  </w:style>
  <w:style w:type="character" w:styleId="FootnoteReference">
    <w:name w:val="footnote reference"/>
    <w:basedOn w:val="DefaultParagraphFont"/>
    <w:uiPriority w:val="99"/>
    <w:semiHidden/>
    <w:unhideWhenUsed/>
    <w:rsid w:val="004F7B05"/>
    <w:rPr>
      <w:vertAlign w:val="superscript"/>
    </w:rPr>
  </w:style>
  <w:style w:type="paragraph" w:styleId="Header">
    <w:name w:val="header"/>
    <w:basedOn w:val="Normal"/>
    <w:link w:val="HeaderChar"/>
    <w:uiPriority w:val="99"/>
    <w:unhideWhenUsed/>
    <w:rsid w:val="00ED4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D32"/>
  </w:style>
  <w:style w:type="paragraph" w:styleId="Footer">
    <w:name w:val="footer"/>
    <w:basedOn w:val="Normal"/>
    <w:link w:val="FooterChar"/>
    <w:uiPriority w:val="99"/>
    <w:unhideWhenUsed/>
    <w:rsid w:val="00ED4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D32"/>
  </w:style>
  <w:style w:type="paragraph" w:styleId="CommentSubject">
    <w:name w:val="annotation subject"/>
    <w:basedOn w:val="CommentText"/>
    <w:next w:val="CommentText"/>
    <w:link w:val="CommentSubjectChar"/>
    <w:uiPriority w:val="99"/>
    <w:semiHidden/>
    <w:unhideWhenUsed/>
    <w:rsid w:val="007234F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234F2"/>
    <w:rPr>
      <w:rFonts w:ascii="Calibri" w:eastAsia="Calibri" w:hAnsi="Calibri" w:cs="Times New Roman"/>
      <w:b/>
      <w:bCs/>
      <w:sz w:val="20"/>
      <w:szCs w:val="20"/>
    </w:rPr>
  </w:style>
  <w:style w:type="paragraph" w:styleId="NormalWeb">
    <w:name w:val="Normal (Web)"/>
    <w:basedOn w:val="Normal"/>
    <w:uiPriority w:val="99"/>
    <w:semiHidden/>
    <w:unhideWhenUsed/>
    <w:rsid w:val="00107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216351">
      <w:bodyDiv w:val="1"/>
      <w:marLeft w:val="0"/>
      <w:marRight w:val="0"/>
      <w:marTop w:val="0"/>
      <w:marBottom w:val="0"/>
      <w:divBdr>
        <w:top w:val="none" w:sz="0" w:space="0" w:color="auto"/>
        <w:left w:val="none" w:sz="0" w:space="0" w:color="auto"/>
        <w:bottom w:val="none" w:sz="0" w:space="0" w:color="auto"/>
        <w:right w:val="none" w:sz="0" w:space="0" w:color="auto"/>
      </w:divBdr>
      <w:divsChild>
        <w:div w:id="1512143210">
          <w:marLeft w:val="0"/>
          <w:marRight w:val="0"/>
          <w:marTop w:val="0"/>
          <w:marBottom w:val="0"/>
          <w:divBdr>
            <w:top w:val="none" w:sz="0" w:space="0" w:color="auto"/>
            <w:left w:val="none" w:sz="0" w:space="0" w:color="auto"/>
            <w:bottom w:val="none" w:sz="0" w:space="0" w:color="auto"/>
            <w:right w:val="none" w:sz="0" w:space="0" w:color="auto"/>
          </w:divBdr>
          <w:divsChild>
            <w:div w:id="2075660158">
              <w:marLeft w:val="0"/>
              <w:marRight w:val="0"/>
              <w:marTop w:val="0"/>
              <w:marBottom w:val="0"/>
              <w:divBdr>
                <w:top w:val="none" w:sz="0" w:space="0" w:color="auto"/>
                <w:left w:val="none" w:sz="0" w:space="0" w:color="auto"/>
                <w:bottom w:val="none" w:sz="0" w:space="0" w:color="auto"/>
                <w:right w:val="none" w:sz="0" w:space="0" w:color="auto"/>
              </w:divBdr>
            </w:div>
          </w:divsChild>
        </w:div>
        <w:div w:id="41250990">
          <w:marLeft w:val="0"/>
          <w:marRight w:val="0"/>
          <w:marTop w:val="0"/>
          <w:marBottom w:val="0"/>
          <w:divBdr>
            <w:top w:val="none" w:sz="0" w:space="0" w:color="auto"/>
            <w:left w:val="none" w:sz="0" w:space="0" w:color="auto"/>
            <w:bottom w:val="none" w:sz="0" w:space="0" w:color="auto"/>
            <w:right w:val="none" w:sz="0" w:space="0" w:color="auto"/>
          </w:divBdr>
        </w:div>
        <w:div w:id="1397820437">
          <w:marLeft w:val="0"/>
          <w:marRight w:val="0"/>
          <w:marTop w:val="0"/>
          <w:marBottom w:val="0"/>
          <w:divBdr>
            <w:top w:val="none" w:sz="0" w:space="0" w:color="auto"/>
            <w:left w:val="none" w:sz="0" w:space="0" w:color="auto"/>
            <w:bottom w:val="none" w:sz="0" w:space="0" w:color="auto"/>
            <w:right w:val="none" w:sz="0" w:space="0" w:color="auto"/>
          </w:divBdr>
          <w:divsChild>
            <w:div w:id="77799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3F3D-C900-49F8-9988-01AE4E26D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2239</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 Tara (DOA)</dc:creator>
  <cp:keywords/>
  <dc:description/>
  <cp:lastModifiedBy>Mello, Tara (DOA)</cp:lastModifiedBy>
  <cp:revision>4</cp:revision>
  <dcterms:created xsi:type="dcterms:W3CDTF">2019-09-26T18:00:00Z</dcterms:created>
  <dcterms:modified xsi:type="dcterms:W3CDTF">2019-09-26T18:02:00Z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